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44C91" w14:textId="14152FE5" w:rsidR="006D56E4" w:rsidRPr="00EF5221" w:rsidRDefault="006D56E4" w:rsidP="00BE4D80">
      <w:pPr>
        <w:pStyle w:val="Geenafstand"/>
        <w:tabs>
          <w:tab w:val="left" w:pos="1985"/>
        </w:tabs>
        <w:spacing w:line="276" w:lineRule="auto"/>
        <w:rPr>
          <w:szCs w:val="18"/>
          <w:lang w:val="nl-NL"/>
        </w:rPr>
      </w:pPr>
      <w:r w:rsidRPr="00EF5221">
        <w:rPr>
          <w:szCs w:val="18"/>
          <w:lang w:val="nl-NL"/>
        </w:rPr>
        <w:t xml:space="preserve">Met de motie Van </w:t>
      </w:r>
      <w:proofErr w:type="spellStart"/>
      <w:r w:rsidRPr="00EF5221">
        <w:rPr>
          <w:szCs w:val="18"/>
          <w:lang w:val="nl-NL"/>
        </w:rPr>
        <w:t>Brenk</w:t>
      </w:r>
      <w:proofErr w:type="spellEnd"/>
      <w:r w:rsidRPr="00EF5221">
        <w:rPr>
          <w:szCs w:val="18"/>
          <w:lang w:val="nl-NL"/>
        </w:rPr>
        <w:t xml:space="preserve"> en Van Dijk</w:t>
      </w:r>
      <w:r w:rsidRPr="00EF5221">
        <w:rPr>
          <w:rStyle w:val="Voetnootmarkering"/>
          <w:szCs w:val="18"/>
          <w:lang w:val="nl-NL"/>
        </w:rPr>
        <w:footnoteReference w:id="1"/>
      </w:r>
      <w:r w:rsidRPr="00EF5221">
        <w:rPr>
          <w:szCs w:val="18"/>
          <w:lang w:val="nl-NL"/>
        </w:rPr>
        <w:t xml:space="preserve"> heeft uw Kamer mij opgeroepen om waar mogelijk nadere analyse te doen naar de stijgende WIA-instroom van de afgelopen jaren en maatregelen te nemen waar noodzakelijk. Inmiddels heb ik de analyse naar de stijgende WIA-instroom afgerond. Daarnaast heb ik – zoals toegezegd in mijn brief van 2 juli 2020</w:t>
      </w:r>
      <w:r w:rsidRPr="00EF5221">
        <w:rPr>
          <w:rStyle w:val="Voetnootmarkering"/>
          <w:szCs w:val="18"/>
          <w:lang w:val="nl-NL"/>
        </w:rPr>
        <w:footnoteReference w:id="2"/>
      </w:r>
      <w:r w:rsidR="00A83024" w:rsidRPr="00EF5221">
        <w:rPr>
          <w:szCs w:val="18"/>
          <w:lang w:val="nl-NL"/>
        </w:rPr>
        <w:t xml:space="preserve"> – een </w:t>
      </w:r>
      <w:r w:rsidRPr="00EF5221">
        <w:rPr>
          <w:szCs w:val="18"/>
          <w:lang w:val="nl-NL"/>
        </w:rPr>
        <w:t xml:space="preserve">analyse gedaan naar de stijgende publieke Ziektewetlasten. In deze brief informeer ik uw Kamer over de uitkomsten van deze analyses. </w:t>
      </w:r>
      <w:r w:rsidRPr="00EF5221">
        <w:rPr>
          <w:lang w:val="nl-NL"/>
        </w:rPr>
        <w:t xml:space="preserve">Beide analyses treft u als achtergronddocumenten </w:t>
      </w:r>
      <w:r w:rsidR="00A83024" w:rsidRPr="00EF5221">
        <w:rPr>
          <w:lang w:val="nl-NL"/>
        </w:rPr>
        <w:t xml:space="preserve">aan </w:t>
      </w:r>
      <w:r w:rsidRPr="00EF5221">
        <w:rPr>
          <w:lang w:val="nl-NL"/>
        </w:rPr>
        <w:t>bij deze brief.</w:t>
      </w:r>
      <w:r w:rsidRPr="00EF5221">
        <w:rPr>
          <w:szCs w:val="18"/>
          <w:lang w:val="nl-NL"/>
        </w:rPr>
        <w:t xml:space="preserve"> </w:t>
      </w:r>
    </w:p>
    <w:p w14:paraId="5C99FCE3" w14:textId="77777777" w:rsidR="006D56E4" w:rsidRPr="00EF5221" w:rsidRDefault="006D56E4" w:rsidP="006D56E4">
      <w:pPr>
        <w:pStyle w:val="Geenafstand"/>
        <w:spacing w:line="276" w:lineRule="auto"/>
        <w:rPr>
          <w:szCs w:val="18"/>
          <w:lang w:val="nl-NL"/>
        </w:rPr>
      </w:pPr>
    </w:p>
    <w:p w14:paraId="1A8782BC" w14:textId="60FCEF8B" w:rsidR="006D56E4" w:rsidRPr="00EF5221" w:rsidRDefault="006D56E4" w:rsidP="006D56E4">
      <w:pPr>
        <w:pStyle w:val="Geenafstand"/>
        <w:spacing w:line="276" w:lineRule="auto"/>
        <w:rPr>
          <w:szCs w:val="18"/>
          <w:lang w:val="nl-NL"/>
        </w:rPr>
      </w:pPr>
      <w:r w:rsidRPr="00EF5221">
        <w:rPr>
          <w:szCs w:val="18"/>
          <w:lang w:val="nl-NL"/>
        </w:rPr>
        <w:t xml:space="preserve">Uit de analyse van de WIA-instroom blijkt dat een groot deel van de stijging is te verklaren door geïmplementeerd beleid en positieve ontwikkeling van de economie. </w:t>
      </w:r>
      <w:r w:rsidR="00003D9B" w:rsidRPr="00EF5221">
        <w:rPr>
          <w:szCs w:val="18"/>
          <w:lang w:val="nl-NL"/>
        </w:rPr>
        <w:t xml:space="preserve">Een positieve ontwikkeling van de economie leidt namelijk tot meer werknemers die verzekerd zijn voor de werknemersverzekeringen. </w:t>
      </w:r>
      <w:r w:rsidR="00A52F19" w:rsidRPr="00EF5221">
        <w:rPr>
          <w:szCs w:val="18"/>
          <w:lang w:val="nl-NL"/>
        </w:rPr>
        <w:t xml:space="preserve">Ook is het totaal aantal arbeidsongeschikten (WIA en WAO samen) als aandeel van het aantal verzekerden afgenomen in de afgelopen jaren. </w:t>
      </w:r>
      <w:r w:rsidRPr="00EF5221">
        <w:rPr>
          <w:szCs w:val="18"/>
          <w:lang w:val="nl-NL"/>
        </w:rPr>
        <w:t xml:space="preserve">Ik zie op basis van de gedane analyse geen noodzaak tot het treffen van maatregelen in de WIA. Wel onderstrepen sommige ontwikkelingen het belang van al ingezet beleid en de behoefte aan aanvullend onderzoek. </w:t>
      </w:r>
    </w:p>
    <w:p w14:paraId="5BAF19D9" w14:textId="0BBF205D" w:rsidR="006D56E4" w:rsidRPr="00EF5221" w:rsidRDefault="006D56E4" w:rsidP="006D56E4">
      <w:pPr>
        <w:pStyle w:val="Geenafstand"/>
        <w:spacing w:line="276" w:lineRule="auto"/>
        <w:rPr>
          <w:lang w:val="nl-NL"/>
        </w:rPr>
      </w:pPr>
    </w:p>
    <w:p w14:paraId="08267EDB" w14:textId="07F11B14" w:rsidR="006B5BFF" w:rsidRPr="00EF5221" w:rsidRDefault="006B5BFF" w:rsidP="006B5BFF">
      <w:pPr>
        <w:spacing w:line="276" w:lineRule="auto"/>
      </w:pPr>
      <w:r w:rsidRPr="00EF5221">
        <w:t xml:space="preserve">Op basis van de onderzochte ontwikkelingen is het verklaarbaar dat het beroep op de ZW de afgelopen jaren is toegenomen. Niet alle gewenste cijfers zijn voorhanden of de cijfers zijn niet zuiver genoeg om kwantitatieve uitspraken te doen in welke mate ontwikkeling hebben bijgedragen aan de stijging van de publieke ZW-lasten. Dat betekent dat ontwikkelingen in de ZW op dit moment alleen kwalitatief kunnen worden geduid. Door verschuivingen van publiek verzekering naar het </w:t>
      </w:r>
      <w:proofErr w:type="spellStart"/>
      <w:r w:rsidRPr="00EF5221">
        <w:t>eigenrisicodragerschap</w:t>
      </w:r>
      <w:proofErr w:type="spellEnd"/>
      <w:r w:rsidRPr="00EF5221">
        <w:t xml:space="preserve"> en </w:t>
      </w:r>
      <w:proofErr w:type="spellStart"/>
      <w:r w:rsidRPr="00EF5221">
        <w:t>vice</w:t>
      </w:r>
      <w:proofErr w:type="spellEnd"/>
      <w:r w:rsidRPr="00EF5221">
        <w:t xml:space="preserve"> versa, flexibilisering van de arbeidsmarkt, het toegenomen aantal werkenden en de uitbreiding van de doelgroep van de no-riskpolis vallen immers meer mensen dan voorheen onder de publieke ZW. Wel is de langere verblijfsduur van de vangnetgroep </w:t>
      </w:r>
      <w:proofErr w:type="spellStart"/>
      <w:r w:rsidRPr="00EF5221">
        <w:t>zwangeren</w:t>
      </w:r>
      <w:proofErr w:type="spellEnd"/>
      <w:r w:rsidRPr="00EF5221">
        <w:t xml:space="preserve"> en WW-gerechtigden in de ZW en de oploop in de instroom van WW-gerechtigden aan het einde van de WW-duur</w:t>
      </w:r>
      <w:r w:rsidR="00A52F19" w:rsidRPr="00EF5221">
        <w:t xml:space="preserve"> opvallend</w:t>
      </w:r>
      <w:r w:rsidRPr="00EF5221">
        <w:t xml:space="preserve">. De vangnetgroep zieke </w:t>
      </w:r>
      <w:proofErr w:type="spellStart"/>
      <w:r w:rsidRPr="00EF5221">
        <w:t>zwangeren</w:t>
      </w:r>
      <w:proofErr w:type="spellEnd"/>
      <w:r w:rsidRPr="00EF5221">
        <w:t xml:space="preserve"> en WW-gerechtigden behoeven daarom nadere aandacht.</w:t>
      </w:r>
    </w:p>
    <w:p w14:paraId="1F57613A" w14:textId="77777777" w:rsidR="006D56E4" w:rsidRPr="00EF5221" w:rsidRDefault="006D56E4" w:rsidP="006D56E4">
      <w:pPr>
        <w:pStyle w:val="Geenafstand"/>
        <w:spacing w:line="276" w:lineRule="auto"/>
        <w:rPr>
          <w:szCs w:val="18"/>
          <w:lang w:val="nl-NL"/>
        </w:rPr>
      </w:pPr>
    </w:p>
    <w:p w14:paraId="7639BCAB" w14:textId="00DFA1CA" w:rsidR="006D56E4" w:rsidRPr="00EF5221" w:rsidRDefault="006D56E4" w:rsidP="006D56E4">
      <w:pPr>
        <w:pStyle w:val="Geenafstand"/>
        <w:spacing w:line="276" w:lineRule="auto"/>
        <w:rPr>
          <w:szCs w:val="18"/>
          <w:lang w:val="nl-NL"/>
        </w:rPr>
      </w:pPr>
      <w:r w:rsidRPr="00EF5221">
        <w:rPr>
          <w:szCs w:val="18"/>
          <w:lang w:val="nl-NL"/>
        </w:rPr>
        <w:t xml:space="preserve">In paragraaf 1 van deze brief ga ik verder in op de ontwikkelingen bij de WIA, de oorzaken achter de stijging van de WIA-instroom en de conclusies die ik trek op basis van de analyse. Vervolgens zal ik in paragraaf 2 hetzelfde doen voor de analyse van de publieke ZW-lasten. </w:t>
      </w:r>
    </w:p>
    <w:p w14:paraId="1E4E6C92" w14:textId="77777777" w:rsidR="00BA43D3" w:rsidRPr="00EF5221" w:rsidRDefault="00BA43D3" w:rsidP="006D56E4">
      <w:pPr>
        <w:pStyle w:val="Geenafstand"/>
        <w:spacing w:line="276" w:lineRule="auto"/>
        <w:rPr>
          <w:szCs w:val="18"/>
          <w:lang w:val="nl-NL"/>
        </w:rPr>
      </w:pPr>
    </w:p>
    <w:p w14:paraId="7F2B826D" w14:textId="77777777" w:rsidR="00696A3D" w:rsidRPr="00EF5221" w:rsidRDefault="00696A3D" w:rsidP="00696A3D">
      <w:pPr>
        <w:pStyle w:val="Geenafstand"/>
        <w:spacing w:line="276" w:lineRule="auto"/>
        <w:rPr>
          <w:b/>
          <w:szCs w:val="18"/>
          <w:u w:val="single"/>
          <w:lang w:val="nl-NL"/>
        </w:rPr>
      </w:pPr>
      <w:r w:rsidRPr="00EF5221">
        <w:rPr>
          <w:b/>
          <w:szCs w:val="18"/>
          <w:u w:val="single"/>
          <w:lang w:val="nl-NL"/>
        </w:rPr>
        <w:t>1. WIA</w:t>
      </w:r>
    </w:p>
    <w:p w14:paraId="43379BDD" w14:textId="77777777" w:rsidR="00696A3D" w:rsidRPr="00EF5221" w:rsidRDefault="00696A3D" w:rsidP="00696A3D">
      <w:pPr>
        <w:pStyle w:val="Geenafstand"/>
        <w:spacing w:line="276" w:lineRule="auto"/>
        <w:rPr>
          <w:b/>
          <w:szCs w:val="18"/>
          <w:u w:val="single"/>
          <w:lang w:val="nl-NL"/>
        </w:rPr>
      </w:pPr>
    </w:p>
    <w:p w14:paraId="476353DD" w14:textId="77777777" w:rsidR="00696A3D" w:rsidRPr="00EF5221" w:rsidRDefault="00696A3D" w:rsidP="00696A3D">
      <w:pPr>
        <w:pStyle w:val="Geenafstand"/>
        <w:spacing w:line="276" w:lineRule="auto"/>
        <w:rPr>
          <w:b/>
          <w:szCs w:val="18"/>
          <w:u w:val="single"/>
          <w:lang w:val="nl-NL"/>
        </w:rPr>
      </w:pPr>
      <w:r w:rsidRPr="00EF5221">
        <w:rPr>
          <w:b/>
          <w:szCs w:val="18"/>
          <w:u w:val="single"/>
          <w:lang w:val="nl-NL"/>
        </w:rPr>
        <w:t>1.1 Ontwikkeling WIA-instroom</w:t>
      </w:r>
    </w:p>
    <w:p w14:paraId="48951250" w14:textId="77777777" w:rsidR="00696A3D" w:rsidRPr="00EF5221" w:rsidRDefault="00696A3D" w:rsidP="00696A3D">
      <w:pPr>
        <w:spacing w:line="276" w:lineRule="auto"/>
      </w:pPr>
      <w:r w:rsidRPr="00EF5221">
        <w:t>De ontwikkeling van de WIA-instroom is weergegeven in tabel 1.</w:t>
      </w:r>
    </w:p>
    <w:p w14:paraId="19EC566A" w14:textId="77777777" w:rsidR="00696A3D" w:rsidRPr="00EF5221" w:rsidRDefault="00696A3D" w:rsidP="00696A3D">
      <w:pPr>
        <w:spacing w:line="276" w:lineRule="auto"/>
      </w:pPr>
    </w:p>
    <w:p w14:paraId="1ABBE1B3" w14:textId="77777777" w:rsidR="00696A3D" w:rsidRPr="00EF5221" w:rsidRDefault="00696A3D" w:rsidP="00696A3D">
      <w:pPr>
        <w:pStyle w:val="Geenafstand"/>
        <w:spacing w:line="276" w:lineRule="auto"/>
        <w:rPr>
          <w:szCs w:val="18"/>
          <w:lang w:val="nl-NL"/>
        </w:rPr>
      </w:pPr>
      <w:r w:rsidRPr="00EF5221">
        <w:rPr>
          <w:szCs w:val="18"/>
          <w:lang w:val="nl-NL"/>
        </w:rPr>
        <w:t>Tabel 1: Instroom WIA</w:t>
      </w:r>
    </w:p>
    <w:tbl>
      <w:tblPr>
        <w:tblW w:w="8307" w:type="dxa"/>
        <w:tblCellMar>
          <w:left w:w="70" w:type="dxa"/>
          <w:right w:w="70" w:type="dxa"/>
        </w:tblCellMar>
        <w:tblLook w:val="04A0" w:firstRow="1" w:lastRow="0" w:firstColumn="1" w:lastColumn="0" w:noHBand="0" w:noVBand="1"/>
      </w:tblPr>
      <w:tblGrid>
        <w:gridCol w:w="2907"/>
        <w:gridCol w:w="900"/>
        <w:gridCol w:w="900"/>
        <w:gridCol w:w="900"/>
        <w:gridCol w:w="900"/>
        <w:gridCol w:w="900"/>
        <w:gridCol w:w="900"/>
      </w:tblGrid>
      <w:tr w:rsidR="00696A3D" w:rsidRPr="00EF5221" w14:paraId="60A49B51" w14:textId="77777777" w:rsidTr="00696A3D">
        <w:trPr>
          <w:trHeight w:val="269"/>
        </w:trPr>
        <w:tc>
          <w:tcPr>
            <w:tcW w:w="2907"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34CE448E"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Instroom WIA</w:t>
            </w:r>
          </w:p>
        </w:tc>
        <w:tc>
          <w:tcPr>
            <w:tcW w:w="90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6828BBB9"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2014</w:t>
            </w:r>
          </w:p>
        </w:tc>
        <w:tc>
          <w:tcPr>
            <w:tcW w:w="90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7DB694A0"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2015</w:t>
            </w:r>
          </w:p>
        </w:tc>
        <w:tc>
          <w:tcPr>
            <w:tcW w:w="90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6070B7F5"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2016</w:t>
            </w:r>
          </w:p>
        </w:tc>
        <w:tc>
          <w:tcPr>
            <w:tcW w:w="90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5F4E1954"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2017</w:t>
            </w:r>
          </w:p>
        </w:tc>
        <w:tc>
          <w:tcPr>
            <w:tcW w:w="90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522E97DC"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2018</w:t>
            </w:r>
          </w:p>
        </w:tc>
        <w:tc>
          <w:tcPr>
            <w:tcW w:w="90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6084C5C9"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2019</w:t>
            </w:r>
            <w:r w:rsidRPr="00EF5221">
              <w:rPr>
                <w:rStyle w:val="Voetnootmarkering"/>
                <w:rFonts w:eastAsia="Times New Roman" w:cs="Calibri"/>
                <w:b/>
                <w:bCs/>
                <w:color w:val="FFFFFF"/>
              </w:rPr>
              <w:footnoteReference w:id="3"/>
            </w:r>
          </w:p>
        </w:tc>
      </w:tr>
      <w:tr w:rsidR="00696A3D" w:rsidRPr="00EF5221" w14:paraId="47E03EAD" w14:textId="77777777" w:rsidTr="00696A3D">
        <w:trPr>
          <w:trHeight w:val="269"/>
        </w:trPr>
        <w:tc>
          <w:tcPr>
            <w:tcW w:w="2907"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5E75076" w14:textId="77777777" w:rsidR="00696A3D" w:rsidRPr="00EF5221" w:rsidRDefault="00696A3D" w:rsidP="00696A3D">
            <w:pPr>
              <w:spacing w:line="276" w:lineRule="auto"/>
              <w:rPr>
                <w:rFonts w:eastAsia="Times New Roman" w:cs="Calibri"/>
              </w:rPr>
            </w:pPr>
            <w:r w:rsidRPr="00EF5221">
              <w:rPr>
                <w:rFonts w:eastAsia="Times New Roman" w:cs="Calibri"/>
              </w:rPr>
              <w:t>WGA publiek verzekerd</w:t>
            </w:r>
          </w:p>
        </w:tc>
        <w:tc>
          <w:tcPr>
            <w:tcW w:w="9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36069722" w14:textId="77777777" w:rsidR="00696A3D" w:rsidRPr="00EF5221" w:rsidRDefault="00696A3D" w:rsidP="00696A3D">
            <w:pPr>
              <w:spacing w:line="276" w:lineRule="auto"/>
              <w:jc w:val="right"/>
              <w:rPr>
                <w:rFonts w:eastAsia="Times New Roman" w:cs="Calibri"/>
              </w:rPr>
            </w:pPr>
            <w:r w:rsidRPr="00EF5221">
              <w:rPr>
                <w:rFonts w:eastAsia="Times New Roman" w:cs="Calibri"/>
              </w:rPr>
              <w:t>23.369</w:t>
            </w:r>
          </w:p>
        </w:tc>
        <w:tc>
          <w:tcPr>
            <w:tcW w:w="9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35E0CC24" w14:textId="77777777" w:rsidR="00696A3D" w:rsidRPr="00EF5221" w:rsidRDefault="00696A3D" w:rsidP="00696A3D">
            <w:pPr>
              <w:spacing w:line="276" w:lineRule="auto"/>
              <w:jc w:val="right"/>
              <w:rPr>
                <w:rFonts w:eastAsia="Times New Roman" w:cs="Calibri"/>
              </w:rPr>
            </w:pPr>
            <w:r w:rsidRPr="00EF5221">
              <w:rPr>
                <w:rFonts w:eastAsia="Times New Roman" w:cs="Calibri"/>
              </w:rPr>
              <w:t>21.725</w:t>
            </w:r>
          </w:p>
        </w:tc>
        <w:tc>
          <w:tcPr>
            <w:tcW w:w="9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C046449" w14:textId="77777777" w:rsidR="00696A3D" w:rsidRPr="00EF5221" w:rsidRDefault="00696A3D" w:rsidP="00696A3D">
            <w:pPr>
              <w:spacing w:line="276" w:lineRule="auto"/>
              <w:jc w:val="right"/>
              <w:rPr>
                <w:rFonts w:eastAsia="Times New Roman" w:cs="Calibri"/>
              </w:rPr>
            </w:pPr>
            <w:r w:rsidRPr="00EF5221">
              <w:rPr>
                <w:rFonts w:eastAsia="Times New Roman" w:cs="Calibri"/>
              </w:rPr>
              <w:t>24.419</w:t>
            </w:r>
          </w:p>
        </w:tc>
        <w:tc>
          <w:tcPr>
            <w:tcW w:w="9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F880AE1" w14:textId="77777777" w:rsidR="00696A3D" w:rsidRPr="00EF5221" w:rsidRDefault="00696A3D" w:rsidP="00696A3D">
            <w:pPr>
              <w:spacing w:line="276" w:lineRule="auto"/>
              <w:jc w:val="right"/>
              <w:rPr>
                <w:rFonts w:eastAsia="Times New Roman" w:cs="Calibri"/>
              </w:rPr>
            </w:pPr>
            <w:r w:rsidRPr="00EF5221">
              <w:rPr>
                <w:rFonts w:eastAsia="Times New Roman" w:cs="Calibri"/>
              </w:rPr>
              <w:t>25.806</w:t>
            </w:r>
          </w:p>
        </w:tc>
        <w:tc>
          <w:tcPr>
            <w:tcW w:w="9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11622B8" w14:textId="77777777" w:rsidR="00696A3D" w:rsidRPr="00EF5221" w:rsidRDefault="00696A3D" w:rsidP="00696A3D">
            <w:pPr>
              <w:spacing w:line="276" w:lineRule="auto"/>
              <w:jc w:val="right"/>
              <w:rPr>
                <w:rFonts w:eastAsia="Times New Roman" w:cs="Calibri"/>
              </w:rPr>
            </w:pPr>
            <w:r w:rsidRPr="00EF5221">
              <w:rPr>
                <w:rFonts w:eastAsia="Times New Roman" w:cs="Calibri"/>
              </w:rPr>
              <w:t>25.803</w:t>
            </w:r>
          </w:p>
        </w:tc>
        <w:tc>
          <w:tcPr>
            <w:tcW w:w="9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93EC38A" w14:textId="77777777" w:rsidR="00696A3D" w:rsidRPr="00EF5221" w:rsidRDefault="00696A3D" w:rsidP="00696A3D">
            <w:pPr>
              <w:spacing w:line="276" w:lineRule="auto"/>
              <w:jc w:val="right"/>
              <w:rPr>
                <w:rFonts w:eastAsia="Times New Roman" w:cs="Calibri"/>
              </w:rPr>
            </w:pPr>
            <w:r w:rsidRPr="00EF5221">
              <w:rPr>
                <w:rFonts w:eastAsia="Times New Roman" w:cs="Calibri"/>
              </w:rPr>
              <w:t>26.715</w:t>
            </w:r>
          </w:p>
        </w:tc>
      </w:tr>
      <w:tr w:rsidR="00696A3D" w:rsidRPr="00EF5221" w14:paraId="20216A8F" w14:textId="77777777" w:rsidTr="00696A3D">
        <w:trPr>
          <w:trHeight w:val="269"/>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00D15FDF" w14:textId="77777777" w:rsidR="00696A3D" w:rsidRPr="00EF5221" w:rsidRDefault="00696A3D" w:rsidP="00696A3D">
            <w:pPr>
              <w:spacing w:line="276" w:lineRule="auto"/>
              <w:rPr>
                <w:rFonts w:eastAsia="Times New Roman" w:cs="Calibri"/>
              </w:rPr>
            </w:pPr>
            <w:r w:rsidRPr="00EF5221">
              <w:rPr>
                <w:rFonts w:eastAsia="Times New Roman" w:cs="Calibri"/>
              </w:rPr>
              <w:t>WGA eigenrisicodrager (ERD)</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57AC80" w14:textId="77777777" w:rsidR="00696A3D" w:rsidRPr="00EF5221" w:rsidRDefault="00696A3D" w:rsidP="00696A3D">
            <w:pPr>
              <w:spacing w:line="276" w:lineRule="auto"/>
              <w:jc w:val="right"/>
              <w:rPr>
                <w:rFonts w:eastAsia="Times New Roman" w:cs="Calibri"/>
              </w:rPr>
            </w:pPr>
            <w:r w:rsidRPr="00EF5221">
              <w:rPr>
                <w:rFonts w:eastAsia="Times New Roman" w:cs="Calibri"/>
              </w:rPr>
              <w:t>5.312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D819712" w14:textId="77777777" w:rsidR="00696A3D" w:rsidRPr="00EF5221" w:rsidRDefault="00696A3D" w:rsidP="00696A3D">
            <w:pPr>
              <w:spacing w:line="276" w:lineRule="auto"/>
              <w:jc w:val="right"/>
              <w:rPr>
                <w:rFonts w:eastAsia="Times New Roman" w:cs="Calibri"/>
              </w:rPr>
            </w:pPr>
            <w:r w:rsidRPr="00EF5221">
              <w:rPr>
                <w:rFonts w:eastAsia="Times New Roman" w:cs="Calibri"/>
              </w:rPr>
              <w:t>5.495</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F8D7A90" w14:textId="77777777" w:rsidR="00696A3D" w:rsidRPr="00EF5221" w:rsidRDefault="00696A3D" w:rsidP="00696A3D">
            <w:pPr>
              <w:spacing w:line="276" w:lineRule="auto"/>
              <w:jc w:val="right"/>
              <w:rPr>
                <w:rFonts w:eastAsia="Times New Roman" w:cs="Calibri"/>
              </w:rPr>
            </w:pPr>
            <w:r w:rsidRPr="00EF5221">
              <w:rPr>
                <w:rFonts w:eastAsia="Times New Roman" w:cs="Calibri"/>
              </w:rPr>
              <w:t>6.003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1A3A4E1" w14:textId="77777777" w:rsidR="00696A3D" w:rsidRPr="00EF5221" w:rsidRDefault="00696A3D" w:rsidP="00696A3D">
            <w:pPr>
              <w:spacing w:line="276" w:lineRule="auto"/>
              <w:jc w:val="right"/>
              <w:rPr>
                <w:rFonts w:eastAsia="Times New Roman" w:cs="Calibri"/>
              </w:rPr>
            </w:pPr>
            <w:r w:rsidRPr="00EF5221">
              <w:rPr>
                <w:rFonts w:eastAsia="Times New Roman" w:cs="Calibri"/>
              </w:rPr>
              <w:t>5.448</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DF918EA" w14:textId="77777777" w:rsidR="00696A3D" w:rsidRPr="00EF5221" w:rsidRDefault="00696A3D" w:rsidP="00696A3D">
            <w:pPr>
              <w:spacing w:line="276" w:lineRule="auto"/>
              <w:jc w:val="right"/>
              <w:rPr>
                <w:rFonts w:eastAsia="Times New Roman" w:cs="Calibri"/>
              </w:rPr>
            </w:pPr>
            <w:r w:rsidRPr="00EF5221">
              <w:rPr>
                <w:rFonts w:eastAsia="Times New Roman" w:cs="Calibri"/>
              </w:rPr>
              <w:t>5.965</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83DA64B" w14:textId="77777777" w:rsidR="00696A3D" w:rsidRPr="00EF5221" w:rsidRDefault="00696A3D" w:rsidP="00696A3D">
            <w:pPr>
              <w:spacing w:line="276" w:lineRule="auto"/>
              <w:jc w:val="right"/>
              <w:rPr>
                <w:rFonts w:eastAsia="Times New Roman" w:cs="Calibri"/>
              </w:rPr>
            </w:pPr>
            <w:r w:rsidRPr="00EF5221">
              <w:rPr>
                <w:rFonts w:eastAsia="Times New Roman" w:cs="Calibri"/>
              </w:rPr>
              <w:t>7.362</w:t>
            </w:r>
          </w:p>
        </w:tc>
      </w:tr>
      <w:tr w:rsidR="00696A3D" w:rsidRPr="00EF5221" w14:paraId="628A7088" w14:textId="77777777" w:rsidTr="00696A3D">
        <w:trPr>
          <w:trHeight w:val="269"/>
        </w:trPr>
        <w:tc>
          <w:tcPr>
            <w:tcW w:w="2907"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3D01A539" w14:textId="77777777" w:rsidR="00696A3D" w:rsidRPr="00EF5221" w:rsidRDefault="00696A3D" w:rsidP="00696A3D">
            <w:pPr>
              <w:spacing w:line="276" w:lineRule="auto"/>
              <w:rPr>
                <w:rFonts w:eastAsia="Times New Roman" w:cs="Calibri"/>
              </w:rPr>
            </w:pPr>
            <w:r w:rsidRPr="00EF5221">
              <w:rPr>
                <w:rFonts w:eastAsia="Times New Roman" w:cs="Calibri"/>
              </w:rPr>
              <w:t>IVA</w:t>
            </w:r>
          </w:p>
        </w:tc>
        <w:tc>
          <w:tcPr>
            <w:tcW w:w="9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32C5B2B" w14:textId="77777777" w:rsidR="00696A3D" w:rsidRPr="00EF5221" w:rsidRDefault="00696A3D" w:rsidP="00696A3D">
            <w:pPr>
              <w:spacing w:line="276" w:lineRule="auto"/>
              <w:jc w:val="right"/>
              <w:rPr>
                <w:rFonts w:eastAsia="Times New Roman" w:cs="Calibri"/>
              </w:rPr>
            </w:pPr>
            <w:r w:rsidRPr="00EF5221">
              <w:rPr>
                <w:rFonts w:eastAsia="Times New Roman" w:cs="Calibri"/>
              </w:rPr>
              <w:t>8.195</w:t>
            </w:r>
          </w:p>
        </w:tc>
        <w:tc>
          <w:tcPr>
            <w:tcW w:w="9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7B243D5" w14:textId="77777777" w:rsidR="00696A3D" w:rsidRPr="00EF5221" w:rsidRDefault="00696A3D" w:rsidP="00696A3D">
            <w:pPr>
              <w:spacing w:line="276" w:lineRule="auto"/>
              <w:jc w:val="right"/>
              <w:rPr>
                <w:rFonts w:eastAsia="Times New Roman" w:cs="Calibri"/>
              </w:rPr>
            </w:pPr>
            <w:r w:rsidRPr="00EF5221">
              <w:rPr>
                <w:rFonts w:eastAsia="Times New Roman" w:cs="Calibri"/>
              </w:rPr>
              <w:t>8.543</w:t>
            </w:r>
          </w:p>
        </w:tc>
        <w:tc>
          <w:tcPr>
            <w:tcW w:w="9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CE11998" w14:textId="77777777" w:rsidR="00696A3D" w:rsidRPr="00EF5221" w:rsidRDefault="00696A3D" w:rsidP="00696A3D">
            <w:pPr>
              <w:spacing w:line="276" w:lineRule="auto"/>
              <w:jc w:val="right"/>
              <w:rPr>
                <w:rFonts w:eastAsia="Times New Roman" w:cs="Calibri"/>
              </w:rPr>
            </w:pPr>
            <w:r w:rsidRPr="00EF5221">
              <w:rPr>
                <w:rFonts w:eastAsia="Times New Roman" w:cs="Calibri"/>
              </w:rPr>
              <w:t>9.589</w:t>
            </w:r>
          </w:p>
        </w:tc>
        <w:tc>
          <w:tcPr>
            <w:tcW w:w="9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29FDD8C" w14:textId="77777777" w:rsidR="00696A3D" w:rsidRPr="00EF5221" w:rsidRDefault="00696A3D" w:rsidP="00696A3D">
            <w:pPr>
              <w:spacing w:line="276" w:lineRule="auto"/>
              <w:jc w:val="right"/>
              <w:rPr>
                <w:rFonts w:eastAsia="Times New Roman" w:cs="Calibri"/>
              </w:rPr>
            </w:pPr>
            <w:r w:rsidRPr="00EF5221">
              <w:rPr>
                <w:rFonts w:eastAsia="Times New Roman" w:cs="Calibri"/>
              </w:rPr>
              <w:t>10.481</w:t>
            </w:r>
          </w:p>
        </w:tc>
        <w:tc>
          <w:tcPr>
            <w:tcW w:w="9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A030B1E" w14:textId="77777777" w:rsidR="00696A3D" w:rsidRPr="00EF5221" w:rsidRDefault="00696A3D" w:rsidP="00696A3D">
            <w:pPr>
              <w:spacing w:line="276" w:lineRule="auto"/>
              <w:jc w:val="right"/>
              <w:rPr>
                <w:rFonts w:eastAsia="Times New Roman" w:cs="Calibri"/>
              </w:rPr>
            </w:pPr>
            <w:r w:rsidRPr="00EF5221">
              <w:rPr>
                <w:rFonts w:eastAsia="Times New Roman" w:cs="Calibri"/>
              </w:rPr>
              <w:t>11.648</w:t>
            </w:r>
          </w:p>
        </w:tc>
        <w:tc>
          <w:tcPr>
            <w:tcW w:w="9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1CE4DC7" w14:textId="77777777" w:rsidR="00696A3D" w:rsidRPr="00EF5221" w:rsidRDefault="00696A3D" w:rsidP="00696A3D">
            <w:pPr>
              <w:spacing w:line="276" w:lineRule="auto"/>
              <w:jc w:val="right"/>
              <w:rPr>
                <w:rFonts w:eastAsia="Times New Roman" w:cs="Calibri"/>
              </w:rPr>
            </w:pPr>
            <w:r w:rsidRPr="00EF5221">
              <w:rPr>
                <w:rFonts w:eastAsia="Times New Roman" w:cs="Calibri"/>
              </w:rPr>
              <w:t>11.733</w:t>
            </w:r>
          </w:p>
        </w:tc>
      </w:tr>
      <w:tr w:rsidR="00696A3D" w:rsidRPr="00EF5221" w14:paraId="45541DF6" w14:textId="77777777" w:rsidTr="00696A3D">
        <w:trPr>
          <w:trHeight w:val="269"/>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740BF5CF" w14:textId="77777777" w:rsidR="00696A3D" w:rsidRPr="00EF5221" w:rsidRDefault="00696A3D" w:rsidP="00696A3D">
            <w:pPr>
              <w:spacing w:line="276" w:lineRule="auto"/>
              <w:rPr>
                <w:rFonts w:eastAsia="Times New Roman" w:cs="Calibri"/>
              </w:rPr>
            </w:pPr>
            <w:r w:rsidRPr="00EF5221">
              <w:rPr>
                <w:rFonts w:eastAsia="Times New Roman" w:cs="Calibri"/>
              </w:rPr>
              <w:t>Totaal</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9E20655" w14:textId="77777777" w:rsidR="00696A3D" w:rsidRPr="00EF5221" w:rsidRDefault="00696A3D" w:rsidP="00696A3D">
            <w:pPr>
              <w:spacing w:line="276" w:lineRule="auto"/>
              <w:jc w:val="right"/>
              <w:rPr>
                <w:rFonts w:eastAsia="Times New Roman" w:cs="Calibri"/>
              </w:rPr>
            </w:pPr>
            <w:r w:rsidRPr="00EF5221">
              <w:rPr>
                <w:rFonts w:eastAsia="Times New Roman" w:cs="Calibri"/>
              </w:rPr>
              <w:t>36.876</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F198F5F" w14:textId="77777777" w:rsidR="00696A3D" w:rsidRPr="00EF5221" w:rsidRDefault="00696A3D" w:rsidP="00696A3D">
            <w:pPr>
              <w:spacing w:line="276" w:lineRule="auto"/>
              <w:jc w:val="right"/>
              <w:rPr>
                <w:rFonts w:eastAsia="Times New Roman" w:cs="Calibri"/>
              </w:rPr>
            </w:pPr>
            <w:r w:rsidRPr="00EF5221">
              <w:rPr>
                <w:rFonts w:eastAsia="Times New Roman" w:cs="Calibri"/>
              </w:rPr>
              <w:t>35.763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29DF498" w14:textId="77777777" w:rsidR="00696A3D" w:rsidRPr="00EF5221" w:rsidRDefault="00696A3D" w:rsidP="00696A3D">
            <w:pPr>
              <w:spacing w:line="276" w:lineRule="auto"/>
              <w:jc w:val="right"/>
              <w:rPr>
                <w:rFonts w:eastAsia="Times New Roman" w:cs="Calibri"/>
              </w:rPr>
            </w:pPr>
            <w:r w:rsidRPr="00EF5221">
              <w:rPr>
                <w:rFonts w:eastAsia="Times New Roman" w:cs="Calibri"/>
              </w:rPr>
              <w:t>40.011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0BD5732" w14:textId="77777777" w:rsidR="00696A3D" w:rsidRPr="00EF5221" w:rsidRDefault="00696A3D" w:rsidP="00696A3D">
            <w:pPr>
              <w:spacing w:line="276" w:lineRule="auto"/>
              <w:jc w:val="right"/>
              <w:rPr>
                <w:rFonts w:eastAsia="Times New Roman" w:cs="Calibri"/>
              </w:rPr>
            </w:pPr>
            <w:r w:rsidRPr="00EF5221">
              <w:rPr>
                <w:rFonts w:eastAsia="Times New Roman" w:cs="Calibri"/>
              </w:rPr>
              <w:t>41.735</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AC6C2D3" w14:textId="77777777" w:rsidR="00696A3D" w:rsidRPr="00EF5221" w:rsidRDefault="00696A3D" w:rsidP="00696A3D">
            <w:pPr>
              <w:spacing w:line="276" w:lineRule="auto"/>
              <w:jc w:val="right"/>
              <w:rPr>
                <w:rFonts w:eastAsia="Times New Roman" w:cs="Calibri"/>
              </w:rPr>
            </w:pPr>
            <w:r w:rsidRPr="00EF5221">
              <w:rPr>
                <w:rFonts w:eastAsia="Times New Roman" w:cs="Calibri"/>
              </w:rPr>
              <w:t>43.416</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62CF231" w14:textId="77777777" w:rsidR="00696A3D" w:rsidRPr="00EF5221" w:rsidRDefault="00696A3D" w:rsidP="00696A3D">
            <w:pPr>
              <w:spacing w:line="276" w:lineRule="auto"/>
              <w:jc w:val="right"/>
              <w:rPr>
                <w:rFonts w:eastAsia="Times New Roman" w:cs="Calibri"/>
              </w:rPr>
            </w:pPr>
            <w:r w:rsidRPr="00EF5221">
              <w:rPr>
                <w:rFonts w:eastAsia="Times New Roman" w:cs="Calibri"/>
              </w:rPr>
              <w:t>45.810</w:t>
            </w:r>
          </w:p>
        </w:tc>
      </w:tr>
    </w:tbl>
    <w:p w14:paraId="470E503E" w14:textId="77777777" w:rsidR="00696A3D" w:rsidRPr="00EF5221" w:rsidRDefault="00696A3D" w:rsidP="00696A3D">
      <w:pPr>
        <w:pStyle w:val="Geenafstand"/>
        <w:spacing w:line="276" w:lineRule="auto"/>
        <w:rPr>
          <w:i/>
          <w:sz w:val="16"/>
          <w:szCs w:val="18"/>
          <w:lang w:val="nl-NL"/>
        </w:rPr>
      </w:pPr>
      <w:r w:rsidRPr="00EF5221">
        <w:rPr>
          <w:i/>
          <w:sz w:val="16"/>
          <w:szCs w:val="18"/>
          <w:lang w:val="nl-NL"/>
        </w:rPr>
        <w:t>Bron: Kwantitatieve informatie UWV</w:t>
      </w:r>
    </w:p>
    <w:p w14:paraId="0B292741" w14:textId="77777777" w:rsidR="00696A3D" w:rsidRPr="00EF5221" w:rsidRDefault="00696A3D" w:rsidP="00696A3D">
      <w:pPr>
        <w:spacing w:line="276" w:lineRule="auto"/>
      </w:pPr>
    </w:p>
    <w:p w14:paraId="44D39C17" w14:textId="7BFE0B00" w:rsidR="00696A3D" w:rsidRPr="00EF5221" w:rsidRDefault="00BA43D3" w:rsidP="00696A3D">
      <w:pPr>
        <w:spacing w:line="276" w:lineRule="auto"/>
      </w:pPr>
      <w:r w:rsidRPr="00EF5221">
        <w:t>Er valt</w:t>
      </w:r>
      <w:r w:rsidR="00696A3D" w:rsidRPr="00EF5221">
        <w:t xml:space="preserve"> een aantal zaken op aan de WIA-instroom:</w:t>
      </w:r>
    </w:p>
    <w:p w14:paraId="3E19338A" w14:textId="77777777" w:rsidR="00000B4C" w:rsidRPr="00EF5221" w:rsidRDefault="00000B4C" w:rsidP="00000B4C">
      <w:pPr>
        <w:spacing w:line="276" w:lineRule="auto"/>
      </w:pPr>
    </w:p>
    <w:p w14:paraId="4B00B226" w14:textId="6FA244EE" w:rsidR="007B6F35" w:rsidRPr="00EF5221" w:rsidRDefault="00BA43D3" w:rsidP="00000B4C">
      <w:pPr>
        <w:spacing w:line="276" w:lineRule="auto"/>
      </w:pPr>
      <w:r w:rsidRPr="00EF5221">
        <w:t xml:space="preserve">1. </w:t>
      </w:r>
      <w:r w:rsidR="00696A3D" w:rsidRPr="00EF5221">
        <w:t xml:space="preserve">De WIA-instroom neemt in 2015 af. Instroom in de WIA kan via twee wegen plaatsvinden. Voor werknemers met een vaste dienstbetrekking gebeurt dit in principe via de loondoorbetaling bij ziekte. Voor werknemers (vaak met een tijdelijke dienstbetrekking) waarvan het dienstverband eindigt tijdens ziekte, zwangere werknemers, werknemers met een no-riskpolis of WW-gerechtigden is er bij ziekte de Ziektewet. Deze tweede groep noemen we </w:t>
      </w:r>
      <w:proofErr w:type="spellStart"/>
      <w:r w:rsidR="00696A3D" w:rsidRPr="00EF5221">
        <w:t>vangnetters</w:t>
      </w:r>
      <w:proofErr w:type="spellEnd"/>
      <w:r w:rsidR="00696A3D" w:rsidRPr="00EF5221">
        <w:t xml:space="preserve">. De daling van de instroom in de WIA in 2015 houdt verband met de Wet beperking ziekteverzuim en arbeidsongeschiktheid </w:t>
      </w:r>
      <w:proofErr w:type="spellStart"/>
      <w:r w:rsidR="00696A3D" w:rsidRPr="00EF5221">
        <w:t>vangnetters</w:t>
      </w:r>
      <w:proofErr w:type="spellEnd"/>
      <w:r w:rsidR="00696A3D" w:rsidRPr="00EF5221">
        <w:t xml:space="preserve"> (</w:t>
      </w:r>
      <w:proofErr w:type="spellStart"/>
      <w:r w:rsidR="00696A3D" w:rsidRPr="00EF5221">
        <w:t>Bezava</w:t>
      </w:r>
      <w:proofErr w:type="spellEnd"/>
      <w:r w:rsidR="00696A3D" w:rsidRPr="00EF5221">
        <w:t>)</w:t>
      </w:r>
      <w:r w:rsidR="00696A3D" w:rsidRPr="00EF5221">
        <w:rPr>
          <w:rStyle w:val="Voetnootmarkering"/>
        </w:rPr>
        <w:footnoteReference w:id="4"/>
      </w:r>
      <w:r w:rsidR="00696A3D" w:rsidRPr="00EF5221">
        <w:t xml:space="preserve"> die is ingegaan op 1 januari 2013. De effecten van deze wet zijn te zien vanaf 1 januari 2015.</w:t>
      </w:r>
    </w:p>
    <w:p w14:paraId="0A44469E" w14:textId="77777777" w:rsidR="00000B4C" w:rsidRPr="00EF5221" w:rsidRDefault="00000B4C" w:rsidP="00000B4C">
      <w:pPr>
        <w:pStyle w:val="Lijstalinea"/>
        <w:spacing w:line="276" w:lineRule="auto"/>
        <w:ind w:left="0"/>
        <w:rPr>
          <w:rFonts w:cs="Times New Roman"/>
        </w:rPr>
      </w:pPr>
    </w:p>
    <w:p w14:paraId="05422B1F" w14:textId="5F6C9106" w:rsidR="007B6F35" w:rsidRPr="00EF5221" w:rsidRDefault="00BA43D3" w:rsidP="00000B4C">
      <w:pPr>
        <w:pStyle w:val="Lijstalinea"/>
        <w:spacing w:line="276" w:lineRule="auto"/>
        <w:ind w:left="0"/>
        <w:rPr>
          <w:rFonts w:cs="Times New Roman"/>
        </w:rPr>
      </w:pPr>
      <w:r w:rsidRPr="00EF5221">
        <w:rPr>
          <w:rFonts w:cs="Times New Roman"/>
        </w:rPr>
        <w:t xml:space="preserve">2. </w:t>
      </w:r>
      <w:r w:rsidR="00696A3D" w:rsidRPr="00EF5221">
        <w:rPr>
          <w:rFonts w:cs="Times New Roman"/>
        </w:rPr>
        <w:t xml:space="preserve">Vanaf 2016 neemt de instroom in de WIA toe. Ten opzichte van 2015 lag de WIA-instroom in 2019 zo’n 28% hoger. Op de oorzaken zal in paragraaf 1.2 nader worden ingegaan. </w:t>
      </w:r>
    </w:p>
    <w:p w14:paraId="5BB3441E" w14:textId="77777777" w:rsidR="00000B4C" w:rsidRPr="00EF5221" w:rsidRDefault="00000B4C" w:rsidP="00000B4C">
      <w:pPr>
        <w:spacing w:line="276" w:lineRule="auto"/>
      </w:pPr>
    </w:p>
    <w:p w14:paraId="3B36400D" w14:textId="4B0EB38C" w:rsidR="00696A3D" w:rsidRPr="00EF5221" w:rsidRDefault="00BA43D3" w:rsidP="00000B4C">
      <w:pPr>
        <w:spacing w:line="276" w:lineRule="auto"/>
      </w:pPr>
      <w:r w:rsidRPr="00EF5221">
        <w:t xml:space="preserve">3. </w:t>
      </w:r>
      <w:r w:rsidR="00696A3D" w:rsidRPr="00EF5221">
        <w:t>Daarnaast is er een forse toename van de instroom van eigenrisicodragers in de WGA in 2019. Dit is te verklaren doordat in 2017 een koppeling is gemaakt tussen WGA-vast en WGA-</w:t>
      </w:r>
      <w:proofErr w:type="spellStart"/>
      <w:r w:rsidR="00696A3D" w:rsidRPr="00EF5221">
        <w:t>flex</w:t>
      </w:r>
      <w:proofErr w:type="spellEnd"/>
      <w:r w:rsidR="00696A3D" w:rsidRPr="00EF5221">
        <w:t xml:space="preserve"> voor het </w:t>
      </w:r>
      <w:proofErr w:type="spellStart"/>
      <w:r w:rsidR="00696A3D" w:rsidRPr="00EF5221">
        <w:t>eigenrisicodragerschap</w:t>
      </w:r>
      <w:proofErr w:type="spellEnd"/>
      <w:r w:rsidR="00696A3D" w:rsidRPr="00EF5221">
        <w:t xml:space="preserve"> en de publieke verzekering. Sinds dat jaar is het mogelijk voor werkgevers om voor het gehele WGA-risico eigenrisicodrager te worden en niet alleen voor het vaste personeel. Daardoor zijn er meer werknemers die onder een eigenrisicodrager vallen. Dit werkt met een vertraging van twee jaar (de ziekteperiode) door in de instroom van eigenrisicodragers in de WGA.</w:t>
      </w:r>
    </w:p>
    <w:p w14:paraId="2B43FE7B" w14:textId="77777777" w:rsidR="00696A3D" w:rsidRPr="00EF5221" w:rsidRDefault="00696A3D" w:rsidP="00696A3D">
      <w:pPr>
        <w:spacing w:line="276" w:lineRule="auto"/>
      </w:pPr>
    </w:p>
    <w:p w14:paraId="6A86714C" w14:textId="77777777" w:rsidR="00696A3D" w:rsidRPr="00EF5221" w:rsidRDefault="00696A3D" w:rsidP="00696A3D">
      <w:pPr>
        <w:spacing w:line="276" w:lineRule="auto"/>
      </w:pPr>
      <w:r w:rsidRPr="00EF5221">
        <w:lastRenderedPageBreak/>
        <w:t xml:space="preserve">Wanneer de instroom in de WIA wordt uitgesplitst naar instroomroute dan valt op dat de stijging van de WIA-instroom voor het grootste gedeelte werknemers betreft die vanuit de loondoorbetaling de WIA instromen (tabel 2) en niet bij de populatie die via de Ziektewet de WIA instroomt ondanks een toename van het aandeel werknemers met een tijdelijke dienstverband (zie ook paragraaf 2.2). </w:t>
      </w:r>
      <w:r w:rsidRPr="00EF5221">
        <w:rPr>
          <w:color w:val="auto"/>
        </w:rPr>
        <w:t>Dit komt doordat werknemers met een tijdelijk dienstverband vaak relatief jong zijn. De oorzaken achter de toename van de instroom in de WIA liggen echter voor een groot deel bij 60-plussers. Daardoor neemt de instroom in de WIA het meest toe voor werknemers die via de loondoorbetaling in de WIA terechtkomen.</w:t>
      </w:r>
    </w:p>
    <w:p w14:paraId="42B56ECA" w14:textId="77777777" w:rsidR="00696A3D" w:rsidRPr="00EF5221" w:rsidRDefault="00696A3D" w:rsidP="00696A3D">
      <w:pPr>
        <w:spacing w:line="276" w:lineRule="auto"/>
      </w:pPr>
    </w:p>
    <w:p w14:paraId="456810BA" w14:textId="27D667FC" w:rsidR="00696A3D" w:rsidRPr="00EF5221" w:rsidRDefault="00003D9B" w:rsidP="00696A3D">
      <w:pPr>
        <w:spacing w:line="276" w:lineRule="auto"/>
      </w:pPr>
      <w:r w:rsidRPr="00EF5221">
        <w:t>D</w:t>
      </w:r>
      <w:r w:rsidR="00696A3D" w:rsidRPr="00EF5221">
        <w:t xml:space="preserve">e instroom vanuit de Ziektewet </w:t>
      </w:r>
      <w:r w:rsidRPr="00EF5221">
        <w:t xml:space="preserve">is </w:t>
      </w:r>
      <w:r w:rsidR="00696A3D" w:rsidRPr="00EF5221">
        <w:t>in 2016 weer toegenomen. Deze toename is toe te schrijven aan de economische crisis die tot een forse stijging van het aantal WW-gerechtigden heeft geleid. Di</w:t>
      </w:r>
      <w:r w:rsidR="00BA43D3" w:rsidRPr="00EF5221">
        <w:t>t werkt met een vertraging van twee</w:t>
      </w:r>
      <w:r w:rsidR="00696A3D" w:rsidRPr="00EF5221">
        <w:t xml:space="preserve"> jaar</w:t>
      </w:r>
      <w:r w:rsidRPr="00EF5221">
        <w:t xml:space="preserve"> (de ziekteperiode)</w:t>
      </w:r>
      <w:r w:rsidR="00696A3D" w:rsidRPr="00EF5221">
        <w:t xml:space="preserve"> door in de instroom van </w:t>
      </w:r>
      <w:proofErr w:type="spellStart"/>
      <w:r w:rsidR="00696A3D" w:rsidRPr="00EF5221">
        <w:t>vangnetters</w:t>
      </w:r>
      <w:proofErr w:type="spellEnd"/>
      <w:r w:rsidR="00696A3D" w:rsidRPr="00EF5221">
        <w:t xml:space="preserve"> in de WIA.</w:t>
      </w:r>
    </w:p>
    <w:p w14:paraId="44568523" w14:textId="77777777" w:rsidR="00696A3D" w:rsidRPr="00EF5221" w:rsidRDefault="00696A3D" w:rsidP="00696A3D">
      <w:pPr>
        <w:spacing w:line="276" w:lineRule="auto"/>
      </w:pPr>
    </w:p>
    <w:p w14:paraId="463E7A30" w14:textId="77777777" w:rsidR="00696A3D" w:rsidRPr="00EF5221" w:rsidRDefault="00696A3D" w:rsidP="00696A3D">
      <w:pPr>
        <w:pStyle w:val="Geenafstand"/>
        <w:spacing w:line="276" w:lineRule="auto"/>
        <w:rPr>
          <w:szCs w:val="18"/>
          <w:lang w:val="nl-NL"/>
        </w:rPr>
      </w:pPr>
      <w:r w:rsidRPr="00EF5221">
        <w:rPr>
          <w:szCs w:val="18"/>
          <w:lang w:val="nl-NL"/>
        </w:rPr>
        <w:t>Tabel 2: Instroom WIA naar instroomroute</w:t>
      </w:r>
    </w:p>
    <w:tbl>
      <w:tblPr>
        <w:tblW w:w="7520" w:type="dxa"/>
        <w:tblInd w:w="75" w:type="dxa"/>
        <w:tblCellMar>
          <w:left w:w="70" w:type="dxa"/>
          <w:right w:w="70" w:type="dxa"/>
        </w:tblCellMar>
        <w:tblLook w:val="04A0" w:firstRow="1" w:lastRow="0" w:firstColumn="1" w:lastColumn="0" w:noHBand="0" w:noVBand="1"/>
      </w:tblPr>
      <w:tblGrid>
        <w:gridCol w:w="1816"/>
        <w:gridCol w:w="960"/>
        <w:gridCol w:w="960"/>
        <w:gridCol w:w="960"/>
        <w:gridCol w:w="960"/>
        <w:gridCol w:w="960"/>
        <w:gridCol w:w="960"/>
      </w:tblGrid>
      <w:tr w:rsidR="00696A3D" w:rsidRPr="00EF5221" w14:paraId="4C948E20" w14:textId="77777777" w:rsidTr="00696A3D">
        <w:trPr>
          <w:trHeight w:val="288"/>
        </w:trPr>
        <w:tc>
          <w:tcPr>
            <w:tcW w:w="176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65E2618C"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Instroom WIA</w:t>
            </w:r>
          </w:p>
        </w:tc>
        <w:tc>
          <w:tcPr>
            <w:tcW w:w="96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38C51718"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2014</w:t>
            </w:r>
          </w:p>
        </w:tc>
        <w:tc>
          <w:tcPr>
            <w:tcW w:w="96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7C13C862"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2015</w:t>
            </w:r>
          </w:p>
        </w:tc>
        <w:tc>
          <w:tcPr>
            <w:tcW w:w="96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1DFB618C"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2016</w:t>
            </w:r>
          </w:p>
        </w:tc>
        <w:tc>
          <w:tcPr>
            <w:tcW w:w="96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4FD9FAC5"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2017</w:t>
            </w:r>
          </w:p>
        </w:tc>
        <w:tc>
          <w:tcPr>
            <w:tcW w:w="96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78763945"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2018</w:t>
            </w:r>
          </w:p>
        </w:tc>
        <w:tc>
          <w:tcPr>
            <w:tcW w:w="96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6A8006DF"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2019</w:t>
            </w:r>
          </w:p>
        </w:tc>
      </w:tr>
      <w:tr w:rsidR="00696A3D" w:rsidRPr="00EF5221" w14:paraId="1895F0D8" w14:textId="77777777" w:rsidTr="00696A3D">
        <w:trPr>
          <w:trHeight w:val="288"/>
        </w:trPr>
        <w:tc>
          <w:tcPr>
            <w:tcW w:w="17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A1D37CA" w14:textId="77777777" w:rsidR="00696A3D" w:rsidRPr="00EF5221" w:rsidRDefault="00696A3D" w:rsidP="00696A3D">
            <w:pPr>
              <w:spacing w:line="276" w:lineRule="auto"/>
              <w:rPr>
                <w:rFonts w:eastAsia="Times New Roman" w:cs="Calibri"/>
              </w:rPr>
            </w:pPr>
            <w:r w:rsidRPr="00EF5221">
              <w:rPr>
                <w:rFonts w:eastAsia="Times New Roman" w:cs="Calibri"/>
              </w:rPr>
              <w:t>Vangnet (Ziektewet)</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DF23C3D" w14:textId="77777777" w:rsidR="00696A3D" w:rsidRPr="00EF5221" w:rsidRDefault="00696A3D" w:rsidP="00696A3D">
            <w:pPr>
              <w:spacing w:line="276" w:lineRule="auto"/>
              <w:jc w:val="right"/>
              <w:rPr>
                <w:rFonts w:eastAsia="Times New Roman" w:cs="Calibri"/>
              </w:rPr>
            </w:pPr>
            <w:r w:rsidRPr="00EF5221">
              <w:rPr>
                <w:rFonts w:eastAsia="Times New Roman" w:cs="Calibri"/>
              </w:rPr>
              <w:t>19827</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0FDD3BD" w14:textId="77777777" w:rsidR="00696A3D" w:rsidRPr="00EF5221" w:rsidRDefault="00696A3D" w:rsidP="00696A3D">
            <w:pPr>
              <w:spacing w:line="276" w:lineRule="auto"/>
              <w:jc w:val="right"/>
              <w:rPr>
                <w:rFonts w:eastAsia="Times New Roman" w:cs="Calibri"/>
              </w:rPr>
            </w:pPr>
            <w:r w:rsidRPr="00EF5221">
              <w:rPr>
                <w:rFonts w:eastAsia="Times New Roman" w:cs="Calibri"/>
              </w:rPr>
              <w:t>18086</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4B0E2DD" w14:textId="77777777" w:rsidR="00696A3D" w:rsidRPr="00EF5221" w:rsidRDefault="00696A3D" w:rsidP="00696A3D">
            <w:pPr>
              <w:spacing w:line="276" w:lineRule="auto"/>
              <w:jc w:val="right"/>
              <w:rPr>
                <w:rFonts w:eastAsia="Times New Roman" w:cs="Calibri"/>
              </w:rPr>
            </w:pPr>
            <w:r w:rsidRPr="00EF5221">
              <w:rPr>
                <w:rFonts w:eastAsia="Times New Roman" w:cs="Calibri"/>
              </w:rPr>
              <w:t>20331</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0FBECAA" w14:textId="77777777" w:rsidR="00696A3D" w:rsidRPr="00EF5221" w:rsidRDefault="00696A3D" w:rsidP="00696A3D">
            <w:pPr>
              <w:spacing w:line="276" w:lineRule="auto"/>
              <w:jc w:val="right"/>
              <w:rPr>
                <w:rFonts w:eastAsia="Times New Roman" w:cs="Calibri"/>
              </w:rPr>
            </w:pPr>
            <w:r w:rsidRPr="00EF5221">
              <w:rPr>
                <w:rFonts w:eastAsia="Times New Roman" w:cs="Calibri"/>
              </w:rPr>
              <w:t>20838</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BB2E7F6" w14:textId="77777777" w:rsidR="00696A3D" w:rsidRPr="00EF5221" w:rsidRDefault="00696A3D" w:rsidP="00696A3D">
            <w:pPr>
              <w:spacing w:line="276" w:lineRule="auto"/>
              <w:jc w:val="right"/>
              <w:rPr>
                <w:rFonts w:eastAsia="Times New Roman" w:cs="Calibri"/>
              </w:rPr>
            </w:pPr>
            <w:r w:rsidRPr="00EF5221">
              <w:rPr>
                <w:rFonts w:eastAsia="Times New Roman" w:cs="Calibri"/>
              </w:rPr>
              <w:t>20264</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97996AC" w14:textId="77777777" w:rsidR="00696A3D" w:rsidRPr="00EF5221" w:rsidRDefault="00696A3D" w:rsidP="00696A3D">
            <w:pPr>
              <w:spacing w:line="276" w:lineRule="auto"/>
              <w:jc w:val="right"/>
              <w:rPr>
                <w:rFonts w:eastAsia="Times New Roman" w:cs="Calibri"/>
              </w:rPr>
            </w:pPr>
            <w:r w:rsidRPr="00EF5221">
              <w:rPr>
                <w:rFonts w:eastAsia="Times New Roman" w:cs="Calibri"/>
              </w:rPr>
              <w:t>20775</w:t>
            </w:r>
          </w:p>
        </w:tc>
      </w:tr>
      <w:tr w:rsidR="00696A3D" w:rsidRPr="00EF5221" w14:paraId="619FFF57" w14:textId="77777777" w:rsidTr="00696A3D">
        <w:trPr>
          <w:trHeight w:val="288"/>
        </w:trPr>
        <w:tc>
          <w:tcPr>
            <w:tcW w:w="1760" w:type="dxa"/>
            <w:tcBorders>
              <w:top w:val="single" w:sz="4" w:space="0" w:color="auto"/>
              <w:left w:val="single" w:sz="4" w:space="0" w:color="auto"/>
              <w:bottom w:val="single" w:sz="4" w:space="0" w:color="auto"/>
              <w:right w:val="single" w:sz="4" w:space="0" w:color="auto"/>
            </w:tcBorders>
            <w:noWrap/>
            <w:vAlign w:val="bottom"/>
            <w:hideMark/>
          </w:tcPr>
          <w:p w14:paraId="4B455653" w14:textId="77777777" w:rsidR="00696A3D" w:rsidRPr="00EF5221" w:rsidRDefault="00696A3D" w:rsidP="00696A3D">
            <w:pPr>
              <w:spacing w:line="276" w:lineRule="auto"/>
              <w:rPr>
                <w:rFonts w:eastAsia="Times New Roman" w:cs="Calibri"/>
              </w:rPr>
            </w:pPr>
            <w:r w:rsidRPr="00EF5221">
              <w:rPr>
                <w:rFonts w:eastAsia="Times New Roman" w:cs="Calibri"/>
              </w:rPr>
              <w:t>Niet-vangnet (loondoorbetaling)</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0D8F69" w14:textId="77777777" w:rsidR="00696A3D" w:rsidRPr="00EF5221" w:rsidRDefault="00696A3D" w:rsidP="00696A3D">
            <w:pPr>
              <w:spacing w:line="276" w:lineRule="auto"/>
              <w:jc w:val="right"/>
              <w:rPr>
                <w:rFonts w:eastAsia="Times New Roman" w:cs="Calibri"/>
              </w:rPr>
            </w:pPr>
            <w:r w:rsidRPr="00EF5221">
              <w:rPr>
                <w:rFonts w:eastAsia="Times New Roman" w:cs="Calibri"/>
              </w:rPr>
              <w:t>17049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438025" w14:textId="77777777" w:rsidR="00696A3D" w:rsidRPr="00EF5221" w:rsidRDefault="00696A3D" w:rsidP="00696A3D">
            <w:pPr>
              <w:spacing w:line="276" w:lineRule="auto"/>
              <w:jc w:val="right"/>
              <w:rPr>
                <w:rFonts w:eastAsia="Times New Roman" w:cs="Calibri"/>
              </w:rPr>
            </w:pPr>
            <w:r w:rsidRPr="00EF5221">
              <w:rPr>
                <w:rFonts w:eastAsia="Times New Roman" w:cs="Calibri"/>
              </w:rPr>
              <w:t>17677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97CC7B" w14:textId="77777777" w:rsidR="00696A3D" w:rsidRPr="00EF5221" w:rsidRDefault="00696A3D" w:rsidP="00696A3D">
            <w:pPr>
              <w:spacing w:line="276" w:lineRule="auto"/>
              <w:jc w:val="right"/>
              <w:rPr>
                <w:rFonts w:eastAsia="Times New Roman" w:cs="Calibri"/>
              </w:rPr>
            </w:pPr>
            <w:r w:rsidRPr="00EF5221">
              <w:rPr>
                <w:rFonts w:eastAsia="Times New Roman" w:cs="Calibri"/>
              </w:rPr>
              <w:t>19680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8C57A2" w14:textId="77777777" w:rsidR="00696A3D" w:rsidRPr="00EF5221" w:rsidRDefault="00696A3D" w:rsidP="00696A3D">
            <w:pPr>
              <w:spacing w:line="276" w:lineRule="auto"/>
              <w:jc w:val="right"/>
              <w:rPr>
                <w:rFonts w:eastAsia="Times New Roman" w:cs="Calibri"/>
              </w:rPr>
            </w:pPr>
            <w:r w:rsidRPr="00EF5221">
              <w:rPr>
                <w:rFonts w:eastAsia="Times New Roman" w:cs="Calibri"/>
              </w:rPr>
              <w:t>20897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0AD099" w14:textId="77777777" w:rsidR="00696A3D" w:rsidRPr="00EF5221" w:rsidRDefault="00696A3D" w:rsidP="00696A3D">
            <w:pPr>
              <w:spacing w:line="276" w:lineRule="auto"/>
              <w:jc w:val="right"/>
              <w:rPr>
                <w:rFonts w:eastAsia="Times New Roman" w:cs="Calibri"/>
              </w:rPr>
            </w:pPr>
            <w:r w:rsidRPr="00EF5221">
              <w:rPr>
                <w:rFonts w:eastAsia="Times New Roman" w:cs="Calibri"/>
              </w:rPr>
              <w:t>23152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F142E4" w14:textId="77777777" w:rsidR="00696A3D" w:rsidRPr="00EF5221" w:rsidRDefault="00696A3D" w:rsidP="00696A3D">
            <w:pPr>
              <w:spacing w:line="276" w:lineRule="auto"/>
              <w:jc w:val="right"/>
              <w:rPr>
                <w:rFonts w:eastAsia="Times New Roman" w:cs="Calibri"/>
              </w:rPr>
            </w:pPr>
            <w:r w:rsidRPr="00EF5221">
              <w:rPr>
                <w:rFonts w:eastAsia="Times New Roman" w:cs="Calibri"/>
              </w:rPr>
              <w:t>25035</w:t>
            </w:r>
          </w:p>
        </w:tc>
      </w:tr>
      <w:tr w:rsidR="00696A3D" w:rsidRPr="00EF5221" w14:paraId="6C414A25" w14:textId="77777777" w:rsidTr="00696A3D">
        <w:trPr>
          <w:trHeight w:val="288"/>
        </w:trPr>
        <w:tc>
          <w:tcPr>
            <w:tcW w:w="17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21396A1" w14:textId="77777777" w:rsidR="00696A3D" w:rsidRPr="00EF5221" w:rsidRDefault="00696A3D" w:rsidP="00696A3D">
            <w:pPr>
              <w:spacing w:line="276" w:lineRule="auto"/>
              <w:rPr>
                <w:rFonts w:eastAsia="Times New Roman" w:cs="Calibri"/>
              </w:rPr>
            </w:pPr>
            <w:r w:rsidRPr="00EF5221">
              <w:rPr>
                <w:rFonts w:eastAsia="Times New Roman" w:cs="Calibri"/>
              </w:rPr>
              <w:t>Totaal WIA</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4867927" w14:textId="77777777" w:rsidR="00696A3D" w:rsidRPr="00EF5221" w:rsidRDefault="00696A3D" w:rsidP="00696A3D">
            <w:pPr>
              <w:spacing w:line="276" w:lineRule="auto"/>
              <w:jc w:val="right"/>
              <w:rPr>
                <w:rFonts w:eastAsia="Times New Roman" w:cs="Calibri"/>
              </w:rPr>
            </w:pPr>
            <w:r w:rsidRPr="00EF5221">
              <w:rPr>
                <w:rFonts w:eastAsia="Times New Roman" w:cs="Calibri"/>
              </w:rPr>
              <w:t>36876</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5E29EC4" w14:textId="77777777" w:rsidR="00696A3D" w:rsidRPr="00EF5221" w:rsidRDefault="00696A3D" w:rsidP="00696A3D">
            <w:pPr>
              <w:spacing w:line="276" w:lineRule="auto"/>
              <w:jc w:val="right"/>
              <w:rPr>
                <w:rFonts w:eastAsia="Times New Roman" w:cs="Calibri"/>
              </w:rPr>
            </w:pPr>
            <w:r w:rsidRPr="00EF5221">
              <w:rPr>
                <w:rFonts w:eastAsia="Times New Roman" w:cs="Calibri"/>
              </w:rPr>
              <w:t>35763</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1F197A0" w14:textId="77777777" w:rsidR="00696A3D" w:rsidRPr="00EF5221" w:rsidRDefault="00696A3D" w:rsidP="00696A3D">
            <w:pPr>
              <w:spacing w:line="276" w:lineRule="auto"/>
              <w:jc w:val="right"/>
              <w:rPr>
                <w:rFonts w:eastAsia="Times New Roman" w:cs="Calibri"/>
              </w:rPr>
            </w:pPr>
            <w:r w:rsidRPr="00EF5221">
              <w:rPr>
                <w:rFonts w:eastAsia="Times New Roman" w:cs="Calibri"/>
              </w:rPr>
              <w:t>40011</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C52A779" w14:textId="77777777" w:rsidR="00696A3D" w:rsidRPr="00EF5221" w:rsidRDefault="00696A3D" w:rsidP="00696A3D">
            <w:pPr>
              <w:spacing w:line="276" w:lineRule="auto"/>
              <w:jc w:val="right"/>
              <w:rPr>
                <w:rFonts w:eastAsia="Times New Roman" w:cs="Calibri"/>
              </w:rPr>
            </w:pPr>
            <w:r w:rsidRPr="00EF5221">
              <w:rPr>
                <w:rFonts w:eastAsia="Times New Roman" w:cs="Calibri"/>
              </w:rPr>
              <w:t>41735</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9EF9856" w14:textId="77777777" w:rsidR="00696A3D" w:rsidRPr="00EF5221" w:rsidRDefault="00696A3D" w:rsidP="00696A3D">
            <w:pPr>
              <w:spacing w:line="276" w:lineRule="auto"/>
              <w:jc w:val="right"/>
              <w:rPr>
                <w:rFonts w:eastAsia="Times New Roman" w:cs="Calibri"/>
              </w:rPr>
            </w:pPr>
            <w:r w:rsidRPr="00EF5221">
              <w:rPr>
                <w:rFonts w:eastAsia="Times New Roman" w:cs="Calibri"/>
              </w:rPr>
              <w:t>43416</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7B3EABE" w14:textId="77777777" w:rsidR="00696A3D" w:rsidRPr="00EF5221" w:rsidRDefault="00696A3D" w:rsidP="00696A3D">
            <w:pPr>
              <w:spacing w:line="276" w:lineRule="auto"/>
              <w:jc w:val="right"/>
              <w:rPr>
                <w:rFonts w:eastAsia="Times New Roman" w:cs="Calibri"/>
              </w:rPr>
            </w:pPr>
            <w:r w:rsidRPr="00EF5221">
              <w:rPr>
                <w:rFonts w:eastAsia="Times New Roman" w:cs="Calibri"/>
              </w:rPr>
              <w:t>45810</w:t>
            </w:r>
          </w:p>
        </w:tc>
      </w:tr>
    </w:tbl>
    <w:p w14:paraId="1FC66674" w14:textId="77777777" w:rsidR="00696A3D" w:rsidRPr="00EF5221" w:rsidRDefault="00696A3D" w:rsidP="00696A3D">
      <w:pPr>
        <w:pStyle w:val="Geenafstand"/>
        <w:spacing w:line="276" w:lineRule="auto"/>
        <w:rPr>
          <w:i/>
          <w:sz w:val="16"/>
          <w:szCs w:val="18"/>
          <w:lang w:val="nl-NL"/>
        </w:rPr>
      </w:pPr>
      <w:r w:rsidRPr="00EF5221">
        <w:rPr>
          <w:i/>
          <w:sz w:val="16"/>
          <w:szCs w:val="18"/>
          <w:lang w:val="nl-NL"/>
        </w:rPr>
        <w:t>Bron: UWV kwantitatieve informatie</w:t>
      </w:r>
    </w:p>
    <w:p w14:paraId="1955311B" w14:textId="77777777" w:rsidR="00696A3D" w:rsidRPr="00EF5221" w:rsidRDefault="00696A3D" w:rsidP="00696A3D">
      <w:pPr>
        <w:spacing w:line="276" w:lineRule="auto"/>
      </w:pPr>
    </w:p>
    <w:p w14:paraId="74499ECA" w14:textId="77777777" w:rsidR="00696A3D" w:rsidRPr="00EF5221" w:rsidRDefault="00696A3D" w:rsidP="00696A3D">
      <w:pPr>
        <w:spacing w:line="276" w:lineRule="auto"/>
        <w:rPr>
          <w:u w:val="single"/>
        </w:rPr>
      </w:pPr>
      <w:r w:rsidRPr="00EF5221">
        <w:rPr>
          <w:b/>
          <w:u w:val="single"/>
        </w:rPr>
        <w:t>1.2 Analyse WIA</w:t>
      </w:r>
    </w:p>
    <w:p w14:paraId="475D9E3F" w14:textId="77777777" w:rsidR="00696A3D" w:rsidRPr="00EF5221" w:rsidRDefault="00696A3D" w:rsidP="00696A3D">
      <w:pPr>
        <w:spacing w:line="276" w:lineRule="auto"/>
      </w:pPr>
      <w:r w:rsidRPr="00EF5221">
        <w:t xml:space="preserve">De analyse heeft vijf factoren aan het licht gebracht die hebben bijgedragen aan een hogere WIA-instroom. Hieronder ga ik in op deze vijf factoren. </w:t>
      </w:r>
    </w:p>
    <w:p w14:paraId="6D8CC242" w14:textId="77777777" w:rsidR="00696A3D" w:rsidRPr="00EF5221" w:rsidRDefault="00696A3D" w:rsidP="00696A3D">
      <w:pPr>
        <w:spacing w:line="276" w:lineRule="auto"/>
      </w:pPr>
    </w:p>
    <w:p w14:paraId="4C0542FB" w14:textId="77777777" w:rsidR="00696A3D" w:rsidRPr="00EF5221" w:rsidRDefault="00696A3D" w:rsidP="00696A3D">
      <w:pPr>
        <w:spacing w:line="276" w:lineRule="auto"/>
        <w:rPr>
          <w:u w:val="single"/>
        </w:rPr>
      </w:pPr>
      <w:r w:rsidRPr="00EF5221">
        <w:rPr>
          <w:u w:val="single"/>
        </w:rPr>
        <w:t xml:space="preserve">1.2.1 Stijging </w:t>
      </w:r>
      <w:proofErr w:type="spellStart"/>
      <w:r w:rsidRPr="00EF5221">
        <w:rPr>
          <w:u w:val="single"/>
        </w:rPr>
        <w:t>Aow</w:t>
      </w:r>
      <w:proofErr w:type="spellEnd"/>
      <w:r w:rsidRPr="00EF5221">
        <w:rPr>
          <w:u w:val="single"/>
        </w:rPr>
        <w:t>-gerechtigde leeftijd</w:t>
      </w:r>
    </w:p>
    <w:p w14:paraId="00E76B55" w14:textId="302D975C" w:rsidR="00696A3D" w:rsidRPr="00EF5221" w:rsidRDefault="00696A3D" w:rsidP="00696A3D">
      <w:pPr>
        <w:spacing w:line="276" w:lineRule="auto"/>
        <w:rPr>
          <w:rFonts w:ascii="Times New Roman" w:hAnsi="Times New Roman" w:cs="Times New Roman"/>
          <w:color w:val="auto"/>
          <w:sz w:val="24"/>
          <w:szCs w:val="24"/>
        </w:rPr>
      </w:pPr>
      <w:r w:rsidRPr="00EF5221">
        <w:t>Een eerste verklaring voor de toename in de WIA-instroom is de verhoging van de AOW-gerechtigde leeftijd. Sinds 1 januari 2013 wordt de AOW-gerechtigde leeftijd in stapjes verhoogd. Dit heeft twee effecten op de WIA-instroom. Ten eerste kunnen werknemers tot op latere leeftijd de WIA instromen. In 2019 stroomden 1.675 personen na het bereiken van de 65-jarige leeftijd de WIA in. Ten tweede werken werknemers langer door omdat zij pas later recht krijgen op een AOW-uitkering en pensioen. Hierdoor zijn er meer werknemers actief op oudere leeftijd</w:t>
      </w:r>
      <w:r w:rsidR="00003D9B" w:rsidRPr="00EF5221">
        <w:t xml:space="preserve"> (ook onder de 65 jaar)</w:t>
      </w:r>
      <w:r w:rsidRPr="00EF5221">
        <w:t>. Ook dit leidt tot een toename van de instroom in de WIA.</w:t>
      </w:r>
      <w:r w:rsidRPr="00EF5221">
        <w:rPr>
          <w:rStyle w:val="Voetnootmarkering"/>
        </w:rPr>
        <w:footnoteReference w:id="5"/>
      </w:r>
      <w:r w:rsidRPr="00EF5221">
        <w:t xml:space="preserve"> </w:t>
      </w:r>
    </w:p>
    <w:p w14:paraId="490D4EAE" w14:textId="77777777" w:rsidR="00696A3D" w:rsidRPr="00EF5221" w:rsidRDefault="00696A3D" w:rsidP="00696A3D">
      <w:pPr>
        <w:spacing w:line="276" w:lineRule="auto"/>
      </w:pPr>
    </w:p>
    <w:p w14:paraId="1E9048E6" w14:textId="77777777" w:rsidR="00696A3D" w:rsidRPr="00EF5221" w:rsidRDefault="00696A3D" w:rsidP="00696A3D">
      <w:pPr>
        <w:spacing w:line="276" w:lineRule="auto"/>
        <w:rPr>
          <w:u w:val="single"/>
        </w:rPr>
      </w:pPr>
      <w:r w:rsidRPr="00EF5221">
        <w:rPr>
          <w:u w:val="single"/>
        </w:rPr>
        <w:t>1.2.2 Afschaffen VUT- en prepensioenregelingen</w:t>
      </w:r>
    </w:p>
    <w:p w14:paraId="20495CC6" w14:textId="3E9A45C9" w:rsidR="00696A3D" w:rsidRPr="00EF5221" w:rsidRDefault="00696A3D" w:rsidP="00696A3D">
      <w:pPr>
        <w:spacing w:line="276" w:lineRule="auto"/>
      </w:pPr>
      <w:r w:rsidRPr="00EF5221">
        <w:t xml:space="preserve">De analyse laat zien dat het instroomrisico in de WIA voor werknemers van 60 jaar en ouder fors is toegenomen zowel bij mannen als vrouwen. De oorzaak hiervan ligt in het afschaffen van VUT- en prepensioenregelingen. Vroeger konden mensen met (een groter risico op) gezondheidsproblemen vervroegd met pensioen via een VUT-regeling of prepensioenregeling. De mensen die bleven doorwerken, waren </w:t>
      </w:r>
      <w:r w:rsidR="009B66D2" w:rsidRPr="00EF5221">
        <w:t xml:space="preserve">over het algemeen </w:t>
      </w:r>
      <w:r w:rsidRPr="00EF5221">
        <w:t xml:space="preserve">mensen (zonder gezondheidsproblemen) met een relatief laag risico op arbeidsongeschiktheid. Na het afschaffen van vervroegde-uittredingsregelingen werken alle mensen langer door, en dus ook de mensen met een verhoogde kans op uitval door ziekte. Dit zorgt voor een geleidelijke stijging van het instroomrisico van ouderen. Tabel 3 laat dit zien. Het instroomrisico voor </w:t>
      </w:r>
      <w:r w:rsidRPr="00EF5221">
        <w:lastRenderedPageBreak/>
        <w:t>60- tot 65-jarigen loopt geleidelijk op. Ook voor de groep die jonger is dan 60 jaar loopt het instroomrisico op, maar veel minder snel.</w:t>
      </w:r>
      <w:r w:rsidR="00B0604A" w:rsidRPr="00EF5221">
        <w:t xml:space="preserve"> Het merendeel van de ouderen haalt nog altijd vanuit werk het pensioen. </w:t>
      </w:r>
      <w:r w:rsidR="00A57256" w:rsidRPr="00EF5221">
        <w:t>I</w:t>
      </w:r>
      <w:r w:rsidR="00B0604A" w:rsidRPr="00EF5221">
        <w:t xml:space="preserve">k </w:t>
      </w:r>
      <w:r w:rsidR="00A57256" w:rsidRPr="00EF5221">
        <w:t xml:space="preserve">zal </w:t>
      </w:r>
      <w:r w:rsidR="00B0604A" w:rsidRPr="00EF5221">
        <w:t>de ontwikkeling van</w:t>
      </w:r>
      <w:r w:rsidR="00AD3FE0" w:rsidRPr="00EF5221">
        <w:t xml:space="preserve"> het instroomrisico </w:t>
      </w:r>
      <w:r w:rsidR="00B0604A" w:rsidRPr="00EF5221">
        <w:t>de komende jaren blijven volgen.</w:t>
      </w:r>
    </w:p>
    <w:p w14:paraId="4AF9854F" w14:textId="77777777" w:rsidR="00AD3FE0" w:rsidRPr="00EF5221" w:rsidRDefault="00AD3FE0" w:rsidP="00696A3D">
      <w:pPr>
        <w:spacing w:line="276" w:lineRule="auto"/>
      </w:pPr>
    </w:p>
    <w:p w14:paraId="6C6D6BF0" w14:textId="77777777" w:rsidR="00696A3D" w:rsidRPr="00EF5221" w:rsidRDefault="00696A3D" w:rsidP="00696A3D">
      <w:pPr>
        <w:pStyle w:val="Geenafstand"/>
        <w:spacing w:line="276" w:lineRule="auto"/>
        <w:rPr>
          <w:szCs w:val="18"/>
          <w:lang w:val="nl-NL"/>
        </w:rPr>
      </w:pPr>
      <w:r w:rsidRPr="00EF5221">
        <w:rPr>
          <w:szCs w:val="18"/>
          <w:lang w:val="nl-NL"/>
        </w:rPr>
        <w:t>Tabel 3: Instroomrisico naar leeftijdsgroep (instroom per 100 verzekerden)</w:t>
      </w:r>
    </w:p>
    <w:tbl>
      <w:tblPr>
        <w:tblW w:w="7240" w:type="dxa"/>
        <w:tblCellMar>
          <w:left w:w="70" w:type="dxa"/>
          <w:right w:w="70" w:type="dxa"/>
        </w:tblCellMar>
        <w:tblLook w:val="04A0" w:firstRow="1" w:lastRow="0" w:firstColumn="1" w:lastColumn="0" w:noHBand="0" w:noVBand="1"/>
      </w:tblPr>
      <w:tblGrid>
        <w:gridCol w:w="2440"/>
        <w:gridCol w:w="960"/>
        <w:gridCol w:w="960"/>
        <w:gridCol w:w="960"/>
        <w:gridCol w:w="960"/>
        <w:gridCol w:w="960"/>
      </w:tblGrid>
      <w:tr w:rsidR="00696A3D" w:rsidRPr="00EF5221" w14:paraId="67939B9A" w14:textId="77777777" w:rsidTr="00696A3D">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3CD2D51E"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Instroomrisico WIA</w:t>
            </w:r>
          </w:p>
        </w:tc>
        <w:tc>
          <w:tcPr>
            <w:tcW w:w="96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7F46AE58"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2015</w:t>
            </w:r>
          </w:p>
        </w:tc>
        <w:tc>
          <w:tcPr>
            <w:tcW w:w="96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559B6CFD"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2016</w:t>
            </w:r>
          </w:p>
        </w:tc>
        <w:tc>
          <w:tcPr>
            <w:tcW w:w="96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46B10C0A"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2017</w:t>
            </w:r>
          </w:p>
        </w:tc>
        <w:tc>
          <w:tcPr>
            <w:tcW w:w="96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1127A537"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2018</w:t>
            </w:r>
          </w:p>
        </w:tc>
        <w:tc>
          <w:tcPr>
            <w:tcW w:w="96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38F9F0B1" w14:textId="77777777" w:rsidR="00696A3D" w:rsidRPr="00EF5221" w:rsidRDefault="00696A3D" w:rsidP="00696A3D">
            <w:pPr>
              <w:spacing w:line="276" w:lineRule="auto"/>
              <w:rPr>
                <w:rFonts w:eastAsia="Times New Roman" w:cs="Calibri"/>
                <w:b/>
                <w:bCs/>
                <w:color w:val="FFFFFF"/>
              </w:rPr>
            </w:pPr>
            <w:r w:rsidRPr="00EF5221">
              <w:rPr>
                <w:rFonts w:eastAsia="Times New Roman" w:cs="Calibri"/>
                <w:b/>
                <w:bCs/>
                <w:color w:val="FFFFFF"/>
              </w:rPr>
              <w:t>2019</w:t>
            </w:r>
          </w:p>
        </w:tc>
      </w:tr>
      <w:tr w:rsidR="00696A3D" w:rsidRPr="00EF5221" w14:paraId="14E75578" w14:textId="77777777" w:rsidTr="00696A3D">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4C552F7" w14:textId="77777777" w:rsidR="00696A3D" w:rsidRPr="00EF5221" w:rsidRDefault="00696A3D" w:rsidP="00696A3D">
            <w:pPr>
              <w:spacing w:line="276" w:lineRule="auto"/>
              <w:rPr>
                <w:rFonts w:eastAsia="Times New Roman" w:cs="Calibri"/>
              </w:rPr>
            </w:pPr>
            <w:r w:rsidRPr="00EF5221">
              <w:rPr>
                <w:rFonts w:eastAsia="Times New Roman" w:cs="Calibri"/>
              </w:rPr>
              <w:t>Jonger dan 60 jaar</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10C9669" w14:textId="77777777" w:rsidR="00696A3D" w:rsidRPr="00EF5221" w:rsidRDefault="00696A3D" w:rsidP="00696A3D">
            <w:pPr>
              <w:spacing w:line="276" w:lineRule="auto"/>
              <w:jc w:val="right"/>
              <w:rPr>
                <w:rFonts w:eastAsia="Times New Roman" w:cs="Calibri"/>
              </w:rPr>
            </w:pPr>
            <w:r w:rsidRPr="00EF5221">
              <w:rPr>
                <w:rFonts w:eastAsia="Times New Roman" w:cs="Calibri"/>
              </w:rPr>
              <w:t>0,46</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AF31B54" w14:textId="77777777" w:rsidR="00696A3D" w:rsidRPr="00EF5221" w:rsidRDefault="00696A3D" w:rsidP="00696A3D">
            <w:pPr>
              <w:spacing w:line="276" w:lineRule="auto"/>
              <w:jc w:val="right"/>
              <w:rPr>
                <w:rFonts w:eastAsia="Times New Roman" w:cs="Calibri"/>
              </w:rPr>
            </w:pPr>
            <w:r w:rsidRPr="00EF5221">
              <w:rPr>
                <w:rFonts w:eastAsia="Times New Roman" w:cs="Calibri"/>
              </w:rPr>
              <w:t>0,50</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B6C2F8B" w14:textId="77777777" w:rsidR="00696A3D" w:rsidRPr="00EF5221" w:rsidRDefault="00696A3D" w:rsidP="00696A3D">
            <w:pPr>
              <w:spacing w:line="276" w:lineRule="auto"/>
              <w:jc w:val="right"/>
              <w:rPr>
                <w:rFonts w:eastAsia="Times New Roman" w:cs="Calibri"/>
              </w:rPr>
            </w:pPr>
            <w:r w:rsidRPr="00EF5221">
              <w:rPr>
                <w:rFonts w:eastAsia="Times New Roman" w:cs="Calibri"/>
              </w:rPr>
              <w:t>0,51</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068D306" w14:textId="77777777" w:rsidR="00696A3D" w:rsidRPr="00EF5221" w:rsidRDefault="00696A3D" w:rsidP="00696A3D">
            <w:pPr>
              <w:spacing w:line="276" w:lineRule="auto"/>
              <w:jc w:val="right"/>
              <w:rPr>
                <w:rFonts w:eastAsia="Times New Roman" w:cs="Calibri"/>
              </w:rPr>
            </w:pPr>
            <w:r w:rsidRPr="00EF5221">
              <w:rPr>
                <w:rFonts w:eastAsia="Times New Roman" w:cs="Calibri"/>
              </w:rPr>
              <w:t>0,51</w:t>
            </w:r>
          </w:p>
        </w:tc>
        <w:tc>
          <w:tcPr>
            <w:tcW w:w="96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0743378" w14:textId="77777777" w:rsidR="00696A3D" w:rsidRPr="00EF5221" w:rsidRDefault="00696A3D" w:rsidP="00696A3D">
            <w:pPr>
              <w:spacing w:line="276" w:lineRule="auto"/>
              <w:jc w:val="right"/>
              <w:rPr>
                <w:rFonts w:eastAsia="Times New Roman" w:cs="Calibri"/>
              </w:rPr>
            </w:pPr>
            <w:r w:rsidRPr="00EF5221">
              <w:rPr>
                <w:rFonts w:eastAsia="Times New Roman" w:cs="Calibri"/>
              </w:rPr>
              <w:t>0,51</w:t>
            </w:r>
          </w:p>
        </w:tc>
      </w:tr>
      <w:tr w:rsidR="00696A3D" w:rsidRPr="00EF5221" w14:paraId="7FCF4F51" w14:textId="77777777" w:rsidTr="00696A3D">
        <w:trPr>
          <w:trHeight w:val="300"/>
        </w:trPr>
        <w:tc>
          <w:tcPr>
            <w:tcW w:w="2440" w:type="dxa"/>
            <w:tcBorders>
              <w:top w:val="single" w:sz="4" w:space="0" w:color="auto"/>
              <w:left w:val="single" w:sz="4" w:space="0" w:color="auto"/>
              <w:bottom w:val="single" w:sz="4" w:space="0" w:color="auto"/>
              <w:right w:val="single" w:sz="4" w:space="0" w:color="auto"/>
            </w:tcBorders>
            <w:noWrap/>
            <w:vAlign w:val="bottom"/>
            <w:hideMark/>
          </w:tcPr>
          <w:p w14:paraId="09C69A6A" w14:textId="77777777" w:rsidR="00696A3D" w:rsidRPr="00EF5221" w:rsidRDefault="00696A3D" w:rsidP="00696A3D">
            <w:pPr>
              <w:spacing w:line="276" w:lineRule="auto"/>
              <w:rPr>
                <w:rFonts w:eastAsia="Times New Roman" w:cs="Calibri"/>
              </w:rPr>
            </w:pPr>
            <w:r w:rsidRPr="00EF5221">
              <w:rPr>
                <w:rFonts w:eastAsia="Times New Roman" w:cs="Calibri"/>
              </w:rPr>
              <w:t>60-65 jaar</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1E825E" w14:textId="77777777" w:rsidR="00696A3D" w:rsidRPr="00EF5221" w:rsidRDefault="00696A3D" w:rsidP="00696A3D">
            <w:pPr>
              <w:spacing w:line="276" w:lineRule="auto"/>
              <w:jc w:val="right"/>
              <w:rPr>
                <w:rFonts w:eastAsia="Times New Roman" w:cs="Calibri"/>
              </w:rPr>
            </w:pPr>
            <w:r w:rsidRPr="00EF5221">
              <w:rPr>
                <w:rFonts w:eastAsia="Times New Roman" w:cs="Calibri"/>
              </w:rPr>
              <w:t>0,88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7C09EB" w14:textId="77777777" w:rsidR="00696A3D" w:rsidRPr="00EF5221" w:rsidRDefault="00696A3D" w:rsidP="00696A3D">
            <w:pPr>
              <w:spacing w:line="276" w:lineRule="auto"/>
              <w:jc w:val="right"/>
              <w:rPr>
                <w:rFonts w:eastAsia="Times New Roman" w:cs="Calibri"/>
              </w:rPr>
            </w:pPr>
            <w:r w:rsidRPr="00EF5221">
              <w:rPr>
                <w:rFonts w:eastAsia="Times New Roman" w:cs="Calibri"/>
              </w:rPr>
              <w:t>1,06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9557F0" w14:textId="77777777" w:rsidR="00696A3D" w:rsidRPr="00EF5221" w:rsidRDefault="00696A3D" w:rsidP="00696A3D">
            <w:pPr>
              <w:spacing w:line="276" w:lineRule="auto"/>
              <w:jc w:val="right"/>
              <w:rPr>
                <w:rFonts w:eastAsia="Times New Roman" w:cs="Calibri"/>
              </w:rPr>
            </w:pPr>
            <w:r w:rsidRPr="00EF5221">
              <w:rPr>
                <w:rFonts w:eastAsia="Times New Roman" w:cs="Calibri"/>
              </w:rPr>
              <w:t>1,16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D5B4450" w14:textId="77777777" w:rsidR="00696A3D" w:rsidRPr="00EF5221" w:rsidRDefault="00696A3D" w:rsidP="00696A3D">
            <w:pPr>
              <w:spacing w:line="276" w:lineRule="auto"/>
              <w:jc w:val="right"/>
              <w:rPr>
                <w:rFonts w:eastAsia="Times New Roman" w:cs="Calibri"/>
              </w:rPr>
            </w:pPr>
            <w:r w:rsidRPr="00EF5221">
              <w:rPr>
                <w:rFonts w:eastAsia="Times New Roman" w:cs="Calibri"/>
              </w:rPr>
              <w:t>1,29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589EC2" w14:textId="77777777" w:rsidR="00696A3D" w:rsidRPr="00EF5221" w:rsidRDefault="00696A3D" w:rsidP="00696A3D">
            <w:pPr>
              <w:spacing w:line="276" w:lineRule="auto"/>
              <w:jc w:val="right"/>
              <w:rPr>
                <w:rFonts w:eastAsia="Times New Roman" w:cs="Calibri"/>
              </w:rPr>
            </w:pPr>
            <w:r w:rsidRPr="00EF5221">
              <w:rPr>
                <w:rFonts w:eastAsia="Times New Roman" w:cs="Calibri"/>
              </w:rPr>
              <w:t>1,34</w:t>
            </w:r>
          </w:p>
        </w:tc>
      </w:tr>
    </w:tbl>
    <w:p w14:paraId="4F22C445" w14:textId="77777777" w:rsidR="00696A3D" w:rsidRPr="00EF5221" w:rsidRDefault="00696A3D" w:rsidP="00696A3D">
      <w:pPr>
        <w:pStyle w:val="Geenafstand"/>
        <w:spacing w:line="276" w:lineRule="auto"/>
        <w:rPr>
          <w:i/>
          <w:sz w:val="16"/>
          <w:szCs w:val="18"/>
          <w:lang w:val="nl-NL"/>
        </w:rPr>
      </w:pPr>
      <w:r w:rsidRPr="00EF5221">
        <w:rPr>
          <w:i/>
          <w:sz w:val="16"/>
          <w:szCs w:val="18"/>
          <w:lang w:val="nl-NL"/>
        </w:rPr>
        <w:t>Bron: UWV kennisverslag 2019-3</w:t>
      </w:r>
    </w:p>
    <w:p w14:paraId="03D07000" w14:textId="013E53E2" w:rsidR="00696A3D" w:rsidRPr="00EF5221" w:rsidRDefault="00696A3D" w:rsidP="00696A3D">
      <w:pPr>
        <w:spacing w:line="276" w:lineRule="auto"/>
      </w:pPr>
    </w:p>
    <w:p w14:paraId="6E6556CF" w14:textId="77777777" w:rsidR="00696A3D" w:rsidRPr="00EF5221" w:rsidRDefault="00696A3D" w:rsidP="00696A3D">
      <w:pPr>
        <w:spacing w:line="276" w:lineRule="auto"/>
        <w:rPr>
          <w:u w:val="single"/>
        </w:rPr>
      </w:pPr>
      <w:r w:rsidRPr="00EF5221">
        <w:rPr>
          <w:u w:val="single"/>
        </w:rPr>
        <w:t>1.2.3 Toename aantal verzekerden WIA</w:t>
      </w:r>
    </w:p>
    <w:p w14:paraId="40C046D9" w14:textId="675FEC10" w:rsidR="00696A3D" w:rsidRPr="00EF5221" w:rsidRDefault="00696A3D" w:rsidP="00696A3D">
      <w:pPr>
        <w:spacing w:line="276" w:lineRule="auto"/>
      </w:pPr>
      <w:r w:rsidRPr="00EF5221">
        <w:t xml:space="preserve">De afgelopen jaren kenden, tot de coronapandemie uitbrak, een sterke economische groei. Die ging samen met een toename van de werkzame beroepsbevolking en daarmee ook met het aantal personen dat verzekerd is op grond van de WIA (tabel 4). Bij een gelijkblijvend instroomrisico betekent een toename van het aantal verzekerden (met een vertraging van </w:t>
      </w:r>
      <w:r w:rsidR="00BA43D3" w:rsidRPr="00EF5221">
        <w:t>twee</w:t>
      </w:r>
      <w:r w:rsidRPr="00EF5221">
        <w:t xml:space="preserve"> jaar) een toename van de instroom in de WIA. Bovendien is het aantal werknemers in de leeftijdscategorie 58 tot 64 jaar relatief sterk gestegen. Aangezien het risico op arbeidsongeschiktheid toeneemt naarmate een werknemer ouder wordt, werkt dit ook het sterkst door in de instroom in arbeidsongeschiktheid.</w:t>
      </w:r>
    </w:p>
    <w:p w14:paraId="2B6AD238" w14:textId="77777777" w:rsidR="00696A3D" w:rsidRPr="00EF5221" w:rsidRDefault="00696A3D" w:rsidP="00696A3D">
      <w:pPr>
        <w:spacing w:line="276" w:lineRule="auto"/>
      </w:pPr>
    </w:p>
    <w:p w14:paraId="3C0F6A96" w14:textId="77777777" w:rsidR="00696A3D" w:rsidRPr="00EF5221" w:rsidRDefault="00696A3D" w:rsidP="00696A3D">
      <w:pPr>
        <w:spacing w:line="276" w:lineRule="auto"/>
      </w:pPr>
      <w:r w:rsidRPr="00EF5221">
        <w:t>Tabel 4: Ontwikkeling verzekerden</w:t>
      </w:r>
      <w:r w:rsidRPr="00EF5221">
        <w:rPr>
          <w:rStyle w:val="Voetnootmarkering"/>
        </w:rPr>
        <w:footnoteReference w:id="6"/>
      </w:r>
      <w:r w:rsidRPr="00EF5221">
        <w:t xml:space="preserve"> </w:t>
      </w:r>
    </w:p>
    <w:tbl>
      <w:tblPr>
        <w:tblW w:w="8100" w:type="dxa"/>
        <w:tblCellMar>
          <w:left w:w="70" w:type="dxa"/>
          <w:right w:w="70" w:type="dxa"/>
        </w:tblCellMar>
        <w:tblLook w:val="04A0" w:firstRow="1" w:lastRow="0" w:firstColumn="1" w:lastColumn="0" w:noHBand="0" w:noVBand="1"/>
      </w:tblPr>
      <w:tblGrid>
        <w:gridCol w:w="2700"/>
        <w:gridCol w:w="1080"/>
        <w:gridCol w:w="1080"/>
        <w:gridCol w:w="1080"/>
        <w:gridCol w:w="1080"/>
        <w:gridCol w:w="1080"/>
      </w:tblGrid>
      <w:tr w:rsidR="00696A3D" w:rsidRPr="00EF5221" w14:paraId="614645C8" w14:textId="77777777" w:rsidTr="00696A3D">
        <w:trPr>
          <w:trHeight w:val="225"/>
        </w:trPr>
        <w:tc>
          <w:tcPr>
            <w:tcW w:w="270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3678D7D5" w14:textId="77777777" w:rsidR="00696A3D" w:rsidRPr="00EF5221" w:rsidRDefault="00696A3D" w:rsidP="00696A3D">
            <w:pPr>
              <w:spacing w:line="276" w:lineRule="auto"/>
              <w:rPr>
                <w:rFonts w:eastAsia="Times New Roman" w:cs="Times New Roman"/>
                <w:b/>
                <w:bCs/>
                <w:color w:val="FFFFFF"/>
              </w:rPr>
            </w:pPr>
            <w:r w:rsidRPr="00EF5221">
              <w:rPr>
                <w:rFonts w:eastAsia="Times New Roman" w:cs="Times New Roman"/>
                <w:b/>
                <w:bCs/>
                <w:color w:val="FFFFFF"/>
              </w:rPr>
              <w:t>Leeftijd</w:t>
            </w:r>
          </w:p>
        </w:tc>
        <w:tc>
          <w:tcPr>
            <w:tcW w:w="108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54FCC9F7" w14:textId="77777777" w:rsidR="00696A3D" w:rsidRPr="00EF5221" w:rsidRDefault="00696A3D" w:rsidP="00696A3D">
            <w:pPr>
              <w:spacing w:line="276" w:lineRule="auto"/>
              <w:rPr>
                <w:rFonts w:eastAsia="Times New Roman" w:cs="Times New Roman"/>
                <w:b/>
                <w:bCs/>
                <w:color w:val="FFFFFF"/>
              </w:rPr>
            </w:pPr>
            <w:r w:rsidRPr="00EF5221">
              <w:rPr>
                <w:rFonts w:eastAsia="Times New Roman" w:cs="Times New Roman"/>
                <w:b/>
                <w:bCs/>
                <w:color w:val="FFFFFF"/>
              </w:rPr>
              <w:t>2013</w:t>
            </w:r>
          </w:p>
        </w:tc>
        <w:tc>
          <w:tcPr>
            <w:tcW w:w="108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00DCDC6E" w14:textId="77777777" w:rsidR="00696A3D" w:rsidRPr="00EF5221" w:rsidRDefault="00696A3D" w:rsidP="00696A3D">
            <w:pPr>
              <w:spacing w:line="276" w:lineRule="auto"/>
              <w:rPr>
                <w:rFonts w:eastAsia="Times New Roman" w:cs="Times New Roman"/>
                <w:b/>
                <w:bCs/>
                <w:color w:val="FFFFFF"/>
              </w:rPr>
            </w:pPr>
            <w:r w:rsidRPr="00EF5221">
              <w:rPr>
                <w:rFonts w:eastAsia="Times New Roman" w:cs="Times New Roman"/>
                <w:b/>
                <w:bCs/>
                <w:color w:val="FFFFFF"/>
              </w:rPr>
              <w:t>2014</w:t>
            </w:r>
          </w:p>
        </w:tc>
        <w:tc>
          <w:tcPr>
            <w:tcW w:w="108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34011751" w14:textId="77777777" w:rsidR="00696A3D" w:rsidRPr="00EF5221" w:rsidRDefault="00696A3D" w:rsidP="00696A3D">
            <w:pPr>
              <w:spacing w:line="276" w:lineRule="auto"/>
              <w:rPr>
                <w:rFonts w:eastAsia="Times New Roman" w:cs="Times New Roman"/>
                <w:b/>
                <w:bCs/>
                <w:color w:val="FFFFFF"/>
              </w:rPr>
            </w:pPr>
            <w:r w:rsidRPr="00EF5221">
              <w:rPr>
                <w:rFonts w:eastAsia="Times New Roman" w:cs="Times New Roman"/>
                <w:b/>
                <w:bCs/>
                <w:color w:val="FFFFFF"/>
              </w:rPr>
              <w:t>2015</w:t>
            </w:r>
          </w:p>
        </w:tc>
        <w:tc>
          <w:tcPr>
            <w:tcW w:w="108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28E8507A" w14:textId="77777777" w:rsidR="00696A3D" w:rsidRPr="00EF5221" w:rsidRDefault="00696A3D" w:rsidP="00696A3D">
            <w:pPr>
              <w:spacing w:line="276" w:lineRule="auto"/>
              <w:rPr>
                <w:rFonts w:eastAsia="Times New Roman" w:cs="Times New Roman"/>
                <w:b/>
                <w:bCs/>
                <w:color w:val="FFFFFF"/>
              </w:rPr>
            </w:pPr>
            <w:r w:rsidRPr="00EF5221">
              <w:rPr>
                <w:rFonts w:eastAsia="Times New Roman" w:cs="Times New Roman"/>
                <w:b/>
                <w:bCs/>
                <w:color w:val="FFFFFF"/>
              </w:rPr>
              <w:t>2016</w:t>
            </w:r>
          </w:p>
        </w:tc>
        <w:tc>
          <w:tcPr>
            <w:tcW w:w="1080" w:type="dxa"/>
            <w:tcBorders>
              <w:top w:val="single" w:sz="4" w:space="0" w:color="auto"/>
              <w:left w:val="single" w:sz="4" w:space="0" w:color="auto"/>
              <w:bottom w:val="single" w:sz="4" w:space="0" w:color="auto"/>
              <w:right w:val="single" w:sz="4" w:space="0" w:color="auto"/>
            </w:tcBorders>
            <w:shd w:val="clear" w:color="auto" w:fill="5B9BD5"/>
            <w:noWrap/>
            <w:vAlign w:val="bottom"/>
            <w:hideMark/>
          </w:tcPr>
          <w:p w14:paraId="73641353" w14:textId="77777777" w:rsidR="00696A3D" w:rsidRPr="00EF5221" w:rsidRDefault="00696A3D" w:rsidP="00696A3D">
            <w:pPr>
              <w:spacing w:line="276" w:lineRule="auto"/>
              <w:rPr>
                <w:rFonts w:eastAsia="Times New Roman" w:cs="Times New Roman"/>
                <w:b/>
                <w:bCs/>
                <w:color w:val="FFFFFF"/>
              </w:rPr>
            </w:pPr>
            <w:r w:rsidRPr="00EF5221">
              <w:rPr>
                <w:rFonts w:eastAsia="Times New Roman" w:cs="Times New Roman"/>
                <w:b/>
                <w:bCs/>
                <w:color w:val="FFFFFF"/>
              </w:rPr>
              <w:t>2017</w:t>
            </w:r>
          </w:p>
        </w:tc>
      </w:tr>
      <w:tr w:rsidR="00696A3D" w:rsidRPr="00EF5221" w14:paraId="00EDA6A4" w14:textId="77777777" w:rsidTr="00696A3D">
        <w:trPr>
          <w:trHeight w:val="225"/>
        </w:trPr>
        <w:tc>
          <w:tcPr>
            <w:tcW w:w="27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FEFFE2B" w14:textId="77777777" w:rsidR="00696A3D" w:rsidRPr="00EF5221" w:rsidRDefault="00696A3D" w:rsidP="00696A3D">
            <w:pPr>
              <w:spacing w:line="276" w:lineRule="auto"/>
              <w:rPr>
                <w:rFonts w:eastAsia="Times New Roman" w:cs="Times New Roman"/>
              </w:rPr>
            </w:pPr>
            <w:r w:rsidRPr="00EF5221">
              <w:rPr>
                <w:rFonts w:eastAsia="Times New Roman" w:cs="Times New Roman"/>
              </w:rPr>
              <w:t>18 - 22 jaar</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4F6A2C6"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-3,9%</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4CF2FAA"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0,3%</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B646D44"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3,5%</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6C0A1BE"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0,1%</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709E045"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6,0%</w:t>
            </w:r>
          </w:p>
        </w:tc>
      </w:tr>
      <w:tr w:rsidR="00696A3D" w:rsidRPr="00EF5221" w14:paraId="33941761" w14:textId="77777777" w:rsidTr="00696A3D">
        <w:trPr>
          <w:trHeight w:val="225"/>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381E8073" w14:textId="77777777" w:rsidR="00696A3D" w:rsidRPr="00EF5221" w:rsidRDefault="00696A3D" w:rsidP="00696A3D">
            <w:pPr>
              <w:spacing w:line="276" w:lineRule="auto"/>
              <w:rPr>
                <w:rFonts w:eastAsia="Times New Roman" w:cs="Times New Roman"/>
              </w:rPr>
            </w:pPr>
            <w:r w:rsidRPr="00EF5221">
              <w:rPr>
                <w:rFonts w:eastAsia="Times New Roman" w:cs="Times New Roman"/>
              </w:rPr>
              <w:t>23 - 27 jaar</w:t>
            </w:r>
          </w:p>
        </w:tc>
        <w:tc>
          <w:tcPr>
            <w:tcW w:w="1080" w:type="dxa"/>
            <w:tcBorders>
              <w:top w:val="nil"/>
              <w:left w:val="nil"/>
              <w:bottom w:val="single" w:sz="4" w:space="0" w:color="auto"/>
              <w:right w:val="single" w:sz="4" w:space="0" w:color="auto"/>
            </w:tcBorders>
            <w:noWrap/>
            <w:vAlign w:val="bottom"/>
            <w:hideMark/>
          </w:tcPr>
          <w:p w14:paraId="05328F54"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-0,8%</w:t>
            </w:r>
          </w:p>
        </w:tc>
        <w:tc>
          <w:tcPr>
            <w:tcW w:w="1080" w:type="dxa"/>
            <w:tcBorders>
              <w:top w:val="nil"/>
              <w:left w:val="nil"/>
              <w:bottom w:val="single" w:sz="4" w:space="0" w:color="auto"/>
              <w:right w:val="single" w:sz="4" w:space="0" w:color="auto"/>
            </w:tcBorders>
            <w:noWrap/>
            <w:vAlign w:val="bottom"/>
            <w:hideMark/>
          </w:tcPr>
          <w:p w14:paraId="7FB13665"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0,8%</w:t>
            </w:r>
          </w:p>
        </w:tc>
        <w:tc>
          <w:tcPr>
            <w:tcW w:w="1080" w:type="dxa"/>
            <w:tcBorders>
              <w:top w:val="nil"/>
              <w:left w:val="nil"/>
              <w:bottom w:val="single" w:sz="4" w:space="0" w:color="auto"/>
              <w:right w:val="single" w:sz="4" w:space="0" w:color="auto"/>
            </w:tcBorders>
            <w:noWrap/>
            <w:vAlign w:val="bottom"/>
            <w:hideMark/>
          </w:tcPr>
          <w:p w14:paraId="4C80B953"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1,7%</w:t>
            </w:r>
          </w:p>
        </w:tc>
        <w:tc>
          <w:tcPr>
            <w:tcW w:w="1080" w:type="dxa"/>
            <w:tcBorders>
              <w:top w:val="nil"/>
              <w:left w:val="nil"/>
              <w:bottom w:val="single" w:sz="4" w:space="0" w:color="auto"/>
              <w:right w:val="single" w:sz="4" w:space="0" w:color="auto"/>
            </w:tcBorders>
            <w:noWrap/>
            <w:vAlign w:val="bottom"/>
            <w:hideMark/>
          </w:tcPr>
          <w:p w14:paraId="01529014"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6E0A75"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3,0%</w:t>
            </w:r>
          </w:p>
        </w:tc>
      </w:tr>
      <w:tr w:rsidR="00696A3D" w:rsidRPr="00EF5221" w14:paraId="12AC6AEE" w14:textId="77777777" w:rsidTr="00696A3D">
        <w:trPr>
          <w:trHeight w:val="225"/>
        </w:trPr>
        <w:tc>
          <w:tcPr>
            <w:tcW w:w="27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351A041" w14:textId="77777777" w:rsidR="00696A3D" w:rsidRPr="00EF5221" w:rsidRDefault="00696A3D" w:rsidP="00696A3D">
            <w:pPr>
              <w:spacing w:line="276" w:lineRule="auto"/>
              <w:rPr>
                <w:rFonts w:eastAsia="Times New Roman" w:cs="Times New Roman"/>
              </w:rPr>
            </w:pPr>
            <w:r w:rsidRPr="00EF5221">
              <w:rPr>
                <w:rFonts w:eastAsia="Times New Roman" w:cs="Times New Roman"/>
              </w:rPr>
              <w:t>28 - 32 jaar</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D7DCA68"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-0,5%</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DCAEE17"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0,9%</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D1CE15D"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1,8%</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7FE9409"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2,1%</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C8202A6"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3,4%</w:t>
            </w:r>
          </w:p>
        </w:tc>
      </w:tr>
      <w:tr w:rsidR="00696A3D" w:rsidRPr="00EF5221" w14:paraId="1626B8A4" w14:textId="77777777" w:rsidTr="00696A3D">
        <w:trPr>
          <w:trHeight w:val="225"/>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7B8EF104" w14:textId="77777777" w:rsidR="00696A3D" w:rsidRPr="00EF5221" w:rsidRDefault="00696A3D" w:rsidP="00696A3D">
            <w:pPr>
              <w:spacing w:line="276" w:lineRule="auto"/>
              <w:rPr>
                <w:rFonts w:eastAsia="Times New Roman" w:cs="Times New Roman"/>
              </w:rPr>
            </w:pPr>
            <w:r w:rsidRPr="00EF5221">
              <w:rPr>
                <w:rFonts w:eastAsia="Times New Roman" w:cs="Times New Roman"/>
              </w:rPr>
              <w:t xml:space="preserve">33 - 37 jaar </w:t>
            </w:r>
          </w:p>
        </w:tc>
        <w:tc>
          <w:tcPr>
            <w:tcW w:w="1080" w:type="dxa"/>
            <w:tcBorders>
              <w:top w:val="nil"/>
              <w:left w:val="nil"/>
              <w:bottom w:val="single" w:sz="4" w:space="0" w:color="auto"/>
              <w:right w:val="single" w:sz="4" w:space="0" w:color="auto"/>
            </w:tcBorders>
            <w:noWrap/>
            <w:vAlign w:val="bottom"/>
            <w:hideMark/>
          </w:tcPr>
          <w:p w14:paraId="35C12E60"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0,3%</w:t>
            </w:r>
          </w:p>
        </w:tc>
        <w:tc>
          <w:tcPr>
            <w:tcW w:w="1080" w:type="dxa"/>
            <w:tcBorders>
              <w:top w:val="nil"/>
              <w:left w:val="nil"/>
              <w:bottom w:val="single" w:sz="4" w:space="0" w:color="auto"/>
              <w:right w:val="single" w:sz="4" w:space="0" w:color="auto"/>
            </w:tcBorders>
            <w:noWrap/>
            <w:vAlign w:val="bottom"/>
            <w:hideMark/>
          </w:tcPr>
          <w:p w14:paraId="4F1CDF88"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0,5%</w:t>
            </w:r>
          </w:p>
        </w:tc>
        <w:tc>
          <w:tcPr>
            <w:tcW w:w="1080" w:type="dxa"/>
            <w:tcBorders>
              <w:top w:val="nil"/>
              <w:left w:val="nil"/>
              <w:bottom w:val="single" w:sz="4" w:space="0" w:color="auto"/>
              <w:right w:val="single" w:sz="4" w:space="0" w:color="auto"/>
            </w:tcBorders>
            <w:noWrap/>
            <w:vAlign w:val="bottom"/>
            <w:hideMark/>
          </w:tcPr>
          <w:p w14:paraId="21B84943"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-0,1%</w:t>
            </w:r>
          </w:p>
        </w:tc>
        <w:tc>
          <w:tcPr>
            <w:tcW w:w="1080" w:type="dxa"/>
            <w:tcBorders>
              <w:top w:val="nil"/>
              <w:left w:val="nil"/>
              <w:bottom w:val="single" w:sz="4" w:space="0" w:color="auto"/>
              <w:right w:val="single" w:sz="4" w:space="0" w:color="auto"/>
            </w:tcBorders>
            <w:noWrap/>
            <w:vAlign w:val="bottom"/>
            <w:hideMark/>
          </w:tcPr>
          <w:p w14:paraId="35DF558C"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3E1BD44"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1,9%</w:t>
            </w:r>
          </w:p>
        </w:tc>
      </w:tr>
      <w:tr w:rsidR="00696A3D" w:rsidRPr="00EF5221" w14:paraId="152EBB95" w14:textId="77777777" w:rsidTr="00696A3D">
        <w:trPr>
          <w:trHeight w:val="225"/>
        </w:trPr>
        <w:tc>
          <w:tcPr>
            <w:tcW w:w="27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686245F" w14:textId="77777777" w:rsidR="00696A3D" w:rsidRPr="00EF5221" w:rsidRDefault="00696A3D" w:rsidP="00696A3D">
            <w:pPr>
              <w:spacing w:line="276" w:lineRule="auto"/>
              <w:rPr>
                <w:rFonts w:eastAsia="Times New Roman" w:cs="Times New Roman"/>
              </w:rPr>
            </w:pPr>
            <w:r w:rsidRPr="00EF5221">
              <w:rPr>
                <w:rFonts w:eastAsia="Times New Roman" w:cs="Times New Roman"/>
              </w:rPr>
              <w:t>38 - 42 jaar</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32E4493"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-5,0%</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109A31A"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-3,4%</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9C30545"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-2,8%</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9AE0653"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-0,8%</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4358B54"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0,9%</w:t>
            </w:r>
          </w:p>
        </w:tc>
      </w:tr>
      <w:tr w:rsidR="00696A3D" w:rsidRPr="00EF5221" w14:paraId="37D72302" w14:textId="77777777" w:rsidTr="00696A3D">
        <w:trPr>
          <w:trHeight w:val="225"/>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3CDF0118" w14:textId="77777777" w:rsidR="00696A3D" w:rsidRPr="00EF5221" w:rsidRDefault="00696A3D" w:rsidP="00696A3D">
            <w:pPr>
              <w:spacing w:line="276" w:lineRule="auto"/>
              <w:rPr>
                <w:rFonts w:eastAsia="Times New Roman" w:cs="Times New Roman"/>
              </w:rPr>
            </w:pPr>
            <w:r w:rsidRPr="00EF5221">
              <w:rPr>
                <w:rFonts w:eastAsia="Times New Roman" w:cs="Times New Roman"/>
              </w:rPr>
              <w:t>43 - 47 jaar</w:t>
            </w:r>
          </w:p>
        </w:tc>
        <w:tc>
          <w:tcPr>
            <w:tcW w:w="1080" w:type="dxa"/>
            <w:tcBorders>
              <w:top w:val="nil"/>
              <w:left w:val="nil"/>
              <w:bottom w:val="single" w:sz="4" w:space="0" w:color="auto"/>
              <w:right w:val="single" w:sz="4" w:space="0" w:color="auto"/>
            </w:tcBorders>
            <w:noWrap/>
            <w:vAlign w:val="bottom"/>
            <w:hideMark/>
          </w:tcPr>
          <w:p w14:paraId="5239D7E0"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-0,7%</w:t>
            </w:r>
          </w:p>
        </w:tc>
        <w:tc>
          <w:tcPr>
            <w:tcW w:w="1080" w:type="dxa"/>
            <w:tcBorders>
              <w:top w:val="nil"/>
              <w:left w:val="nil"/>
              <w:bottom w:val="single" w:sz="4" w:space="0" w:color="auto"/>
              <w:right w:val="single" w:sz="4" w:space="0" w:color="auto"/>
            </w:tcBorders>
            <w:noWrap/>
            <w:vAlign w:val="bottom"/>
            <w:hideMark/>
          </w:tcPr>
          <w:p w14:paraId="101B8445"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-0,3%</w:t>
            </w:r>
          </w:p>
        </w:tc>
        <w:tc>
          <w:tcPr>
            <w:tcW w:w="1080" w:type="dxa"/>
            <w:tcBorders>
              <w:top w:val="nil"/>
              <w:left w:val="nil"/>
              <w:bottom w:val="single" w:sz="4" w:space="0" w:color="auto"/>
              <w:right w:val="single" w:sz="4" w:space="0" w:color="auto"/>
            </w:tcBorders>
            <w:noWrap/>
            <w:vAlign w:val="bottom"/>
            <w:hideMark/>
          </w:tcPr>
          <w:p w14:paraId="0AAE0105"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-1,9%</w:t>
            </w:r>
          </w:p>
        </w:tc>
        <w:tc>
          <w:tcPr>
            <w:tcW w:w="1080" w:type="dxa"/>
            <w:tcBorders>
              <w:top w:val="nil"/>
              <w:left w:val="nil"/>
              <w:bottom w:val="single" w:sz="4" w:space="0" w:color="auto"/>
              <w:right w:val="single" w:sz="4" w:space="0" w:color="auto"/>
            </w:tcBorders>
            <w:noWrap/>
            <w:vAlign w:val="bottom"/>
            <w:hideMark/>
          </w:tcPr>
          <w:p w14:paraId="5069C7E6"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-3,4%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526AD68"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-3,4%</w:t>
            </w:r>
          </w:p>
        </w:tc>
      </w:tr>
      <w:tr w:rsidR="00696A3D" w:rsidRPr="00EF5221" w14:paraId="620B85F1" w14:textId="77777777" w:rsidTr="00696A3D">
        <w:trPr>
          <w:trHeight w:val="225"/>
        </w:trPr>
        <w:tc>
          <w:tcPr>
            <w:tcW w:w="27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366CE5B" w14:textId="77777777" w:rsidR="00696A3D" w:rsidRPr="00EF5221" w:rsidRDefault="00696A3D" w:rsidP="00696A3D">
            <w:pPr>
              <w:spacing w:line="276" w:lineRule="auto"/>
              <w:rPr>
                <w:rFonts w:eastAsia="Times New Roman" w:cs="Times New Roman"/>
              </w:rPr>
            </w:pPr>
            <w:r w:rsidRPr="00EF5221">
              <w:rPr>
                <w:rFonts w:eastAsia="Times New Roman" w:cs="Times New Roman"/>
              </w:rPr>
              <w:t>48 - 52 jaar</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A074F9A"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-0,2%</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58598EA"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0,2%</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1483E46"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-0,4%</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B89C13E"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0,0%</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EC7621C"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1,0%</w:t>
            </w:r>
          </w:p>
        </w:tc>
      </w:tr>
      <w:tr w:rsidR="00696A3D" w:rsidRPr="00EF5221" w14:paraId="0557C524" w14:textId="77777777" w:rsidTr="00696A3D">
        <w:trPr>
          <w:trHeight w:val="225"/>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6F1E4A1C" w14:textId="77777777" w:rsidR="00696A3D" w:rsidRPr="00EF5221" w:rsidRDefault="00696A3D" w:rsidP="00696A3D">
            <w:pPr>
              <w:spacing w:line="276" w:lineRule="auto"/>
              <w:rPr>
                <w:rFonts w:eastAsia="Times New Roman" w:cs="Times New Roman"/>
              </w:rPr>
            </w:pPr>
            <w:r w:rsidRPr="00EF5221">
              <w:rPr>
                <w:rFonts w:eastAsia="Times New Roman" w:cs="Times New Roman"/>
              </w:rPr>
              <w:t>53 - 57 jaar</w:t>
            </w:r>
          </w:p>
        </w:tc>
        <w:tc>
          <w:tcPr>
            <w:tcW w:w="1080" w:type="dxa"/>
            <w:tcBorders>
              <w:top w:val="nil"/>
              <w:left w:val="nil"/>
              <w:bottom w:val="single" w:sz="4" w:space="0" w:color="auto"/>
              <w:right w:val="single" w:sz="4" w:space="0" w:color="auto"/>
            </w:tcBorders>
            <w:noWrap/>
            <w:vAlign w:val="bottom"/>
            <w:hideMark/>
          </w:tcPr>
          <w:p w14:paraId="780E1306"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1,6%</w:t>
            </w:r>
          </w:p>
        </w:tc>
        <w:tc>
          <w:tcPr>
            <w:tcW w:w="1080" w:type="dxa"/>
            <w:tcBorders>
              <w:top w:val="nil"/>
              <w:left w:val="nil"/>
              <w:bottom w:val="single" w:sz="4" w:space="0" w:color="auto"/>
              <w:right w:val="single" w:sz="4" w:space="0" w:color="auto"/>
            </w:tcBorders>
            <w:noWrap/>
            <w:vAlign w:val="bottom"/>
            <w:hideMark/>
          </w:tcPr>
          <w:p w14:paraId="4EFCBAF3"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2,5%</w:t>
            </w:r>
          </w:p>
        </w:tc>
        <w:tc>
          <w:tcPr>
            <w:tcW w:w="1080" w:type="dxa"/>
            <w:tcBorders>
              <w:top w:val="nil"/>
              <w:left w:val="nil"/>
              <w:bottom w:val="single" w:sz="4" w:space="0" w:color="auto"/>
              <w:right w:val="single" w:sz="4" w:space="0" w:color="auto"/>
            </w:tcBorders>
            <w:noWrap/>
            <w:vAlign w:val="bottom"/>
            <w:hideMark/>
          </w:tcPr>
          <w:p w14:paraId="509CDA29"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1,7%</w:t>
            </w:r>
          </w:p>
        </w:tc>
        <w:tc>
          <w:tcPr>
            <w:tcW w:w="1080" w:type="dxa"/>
            <w:tcBorders>
              <w:top w:val="nil"/>
              <w:left w:val="nil"/>
              <w:bottom w:val="single" w:sz="4" w:space="0" w:color="auto"/>
              <w:right w:val="single" w:sz="4" w:space="0" w:color="auto"/>
            </w:tcBorders>
            <w:noWrap/>
            <w:vAlign w:val="bottom"/>
            <w:hideMark/>
          </w:tcPr>
          <w:p w14:paraId="2C6A4797"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4492687"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1,9%</w:t>
            </w:r>
          </w:p>
        </w:tc>
      </w:tr>
      <w:tr w:rsidR="00696A3D" w:rsidRPr="00EF5221" w14:paraId="24DA5D7A" w14:textId="77777777" w:rsidTr="00696A3D">
        <w:trPr>
          <w:trHeight w:val="225"/>
        </w:trPr>
        <w:tc>
          <w:tcPr>
            <w:tcW w:w="270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3329D1E" w14:textId="77777777" w:rsidR="00696A3D" w:rsidRPr="00EF5221" w:rsidRDefault="00696A3D" w:rsidP="00696A3D">
            <w:pPr>
              <w:spacing w:line="276" w:lineRule="auto"/>
              <w:rPr>
                <w:rFonts w:eastAsia="Times New Roman" w:cs="Times New Roman"/>
              </w:rPr>
            </w:pPr>
            <w:r w:rsidRPr="00EF5221">
              <w:rPr>
                <w:rFonts w:eastAsia="Times New Roman" w:cs="Times New Roman"/>
              </w:rPr>
              <w:t>58 - 64 jaar</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7C253BB"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5,9%</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512D985"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5,7%</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F2F79B8"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4,5%</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B5D3660"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4,8%</w:t>
            </w:r>
          </w:p>
        </w:tc>
        <w:tc>
          <w:tcPr>
            <w:tcW w:w="108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31FBD2FF"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4,4%</w:t>
            </w:r>
          </w:p>
        </w:tc>
      </w:tr>
      <w:tr w:rsidR="00696A3D" w:rsidRPr="00EF5221" w14:paraId="317EAE3B" w14:textId="77777777" w:rsidTr="00696A3D">
        <w:trPr>
          <w:trHeight w:val="225"/>
        </w:trPr>
        <w:tc>
          <w:tcPr>
            <w:tcW w:w="2700" w:type="dxa"/>
            <w:tcBorders>
              <w:top w:val="single" w:sz="4" w:space="0" w:color="auto"/>
              <w:left w:val="single" w:sz="4" w:space="0" w:color="auto"/>
              <w:bottom w:val="single" w:sz="4" w:space="0" w:color="auto"/>
              <w:right w:val="single" w:sz="4" w:space="0" w:color="auto"/>
            </w:tcBorders>
            <w:noWrap/>
            <w:vAlign w:val="bottom"/>
            <w:hideMark/>
          </w:tcPr>
          <w:p w14:paraId="6840C6D1" w14:textId="77777777" w:rsidR="00696A3D" w:rsidRPr="00EF5221" w:rsidRDefault="00696A3D" w:rsidP="00696A3D">
            <w:pPr>
              <w:spacing w:line="276" w:lineRule="auto"/>
              <w:rPr>
                <w:rFonts w:eastAsia="Times New Roman" w:cs="Times New Roman"/>
              </w:rPr>
            </w:pPr>
            <w:r w:rsidRPr="00EF5221">
              <w:rPr>
                <w:rFonts w:eastAsia="Times New Roman" w:cs="Times New Roman"/>
              </w:rPr>
              <w:t xml:space="preserve">Totaal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818344B"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9AD817"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660E910"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ED9C449"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4BE436" w14:textId="77777777" w:rsidR="00696A3D" w:rsidRPr="00EF5221" w:rsidRDefault="00696A3D" w:rsidP="00696A3D">
            <w:pPr>
              <w:spacing w:line="276" w:lineRule="auto"/>
              <w:jc w:val="right"/>
              <w:rPr>
                <w:rFonts w:eastAsia="Times New Roman" w:cs="Times New Roman"/>
              </w:rPr>
            </w:pPr>
            <w:r w:rsidRPr="00EF5221">
              <w:rPr>
                <w:rFonts w:eastAsia="Times New Roman" w:cs="Times New Roman"/>
              </w:rPr>
              <w:t>2,1%</w:t>
            </w:r>
          </w:p>
        </w:tc>
      </w:tr>
    </w:tbl>
    <w:p w14:paraId="63EED344" w14:textId="77777777" w:rsidR="00696A3D" w:rsidRPr="00EF5221" w:rsidRDefault="00696A3D" w:rsidP="00696A3D">
      <w:pPr>
        <w:spacing w:line="276" w:lineRule="auto"/>
        <w:rPr>
          <w:i/>
          <w:sz w:val="16"/>
        </w:rPr>
      </w:pPr>
      <w:r w:rsidRPr="00EF5221">
        <w:rPr>
          <w:i/>
          <w:sz w:val="16"/>
        </w:rPr>
        <w:t>Bron: Cijfers UWV</w:t>
      </w:r>
    </w:p>
    <w:p w14:paraId="5C2BBCA1" w14:textId="77777777" w:rsidR="00696A3D" w:rsidRPr="00EF5221" w:rsidRDefault="00696A3D" w:rsidP="00696A3D">
      <w:pPr>
        <w:spacing w:line="276" w:lineRule="auto"/>
      </w:pPr>
    </w:p>
    <w:p w14:paraId="14F06008" w14:textId="77777777" w:rsidR="00696A3D" w:rsidRPr="00EF5221" w:rsidRDefault="00696A3D" w:rsidP="00696A3D">
      <w:pPr>
        <w:spacing w:line="276" w:lineRule="auto"/>
        <w:rPr>
          <w:u w:val="single"/>
        </w:rPr>
      </w:pPr>
      <w:r w:rsidRPr="00EF5221">
        <w:rPr>
          <w:u w:val="single"/>
        </w:rPr>
        <w:t>1.2.4 Toename instroomrisico vrouwen</w:t>
      </w:r>
    </w:p>
    <w:p w14:paraId="64A0C9D4" w14:textId="77777777" w:rsidR="00696A3D" w:rsidRPr="00EF5221" w:rsidRDefault="00696A3D" w:rsidP="00696A3D">
      <w:pPr>
        <w:spacing w:line="276" w:lineRule="auto"/>
      </w:pPr>
      <w:r w:rsidRPr="00EF5221">
        <w:t xml:space="preserve">Het instroomrisico voor vrouwen ligt hoger dan het instroomrisico voor mannen. Sinds 2014 is het instroomrisico ook toegenomen voor vrouwen onder de 60 jaar. Dit is een ander beeld dan bij mannen waar het instroomrisico ten opzichte van 2014 is gedaald (waarschijnlijk als gevolg van de wet </w:t>
      </w:r>
      <w:proofErr w:type="spellStart"/>
      <w:r w:rsidRPr="00EF5221">
        <w:t>Bezava</w:t>
      </w:r>
      <w:proofErr w:type="spellEnd"/>
      <w:r w:rsidRPr="00EF5221">
        <w:t>). De oorzaak achter het verschil is onduidelijk, wel zijn er aanwijzingen waar het verschil in instroomrisico van vrouwen en mannen mee samenhangt.</w:t>
      </w:r>
    </w:p>
    <w:p w14:paraId="076BA954" w14:textId="77777777" w:rsidR="00696A3D" w:rsidRPr="00EF5221" w:rsidRDefault="00696A3D" w:rsidP="00696A3D">
      <w:pPr>
        <w:spacing w:line="276" w:lineRule="auto"/>
      </w:pPr>
    </w:p>
    <w:p w14:paraId="484BB0CA" w14:textId="77777777" w:rsidR="00696A3D" w:rsidRPr="00EF5221" w:rsidRDefault="00696A3D" w:rsidP="00696A3D">
      <w:pPr>
        <w:spacing w:line="276" w:lineRule="auto"/>
      </w:pPr>
      <w:r w:rsidRPr="00EF5221">
        <w:t>Allereerst blijkt uit onderzoek van UWV</w:t>
      </w:r>
      <w:r w:rsidRPr="00EF5221">
        <w:rPr>
          <w:rStyle w:val="Voetnootmarkering"/>
        </w:rPr>
        <w:footnoteReference w:id="7"/>
      </w:r>
      <w:r w:rsidRPr="00EF5221">
        <w:t xml:space="preserve"> met name in vier bedrijfstakken de instroom fors is toegenomen. Dat zijn de bedrijfstakken Gezondheid, Overheid </w:t>
      </w:r>
      <w:r w:rsidRPr="00EF5221">
        <w:lastRenderedPageBreak/>
        <w:t xml:space="preserve">overig, Overheid onderwijs en Financieel &amp; diensten. Met uitzondering van de sector Financieel &amp; diensten zijn dit sectoren waar relatief veel vrouwen werken. </w:t>
      </w:r>
      <w:r w:rsidRPr="00EF5221">
        <w:rPr>
          <w:rFonts w:cs="RijksoverheidSerif"/>
        </w:rPr>
        <w:t>UWV beschrijft een trendmatige stijging van de kans op arbeids</w:t>
      </w:r>
      <w:r w:rsidRPr="00EF5221">
        <w:rPr>
          <w:rFonts w:cs="RijksoverheidSerif"/>
        </w:rPr>
        <w:softHyphen/>
        <w:t>ongeschiktheid in de bedrijfstak Gezondheid. Bij mannen concentreert de gestegen kans op arbeidsongeschiktheid zich bij de 50-plussers, maar bij vrouwen is deze zichtbaar in alle leeftijdsgroe</w:t>
      </w:r>
      <w:r w:rsidRPr="00EF5221">
        <w:rPr>
          <w:rFonts w:cs="RijksoverheidSerif"/>
        </w:rPr>
        <w:softHyphen/>
        <w:t>pen. Daarnaast ziet UWV dat stress gerelateerde ziektebeelden een belangrijke component vormen van de stijging van de instroomkans in de WIA bij vrouwen in de bedrijfstak Gezondheid. Ook in de bedrijfstak Overheid en Onderwijs is de instroomkans in de WIA toegenomen de afgelopen jaren, zowel bij mannen als bij vrouwen. Psychische aandoeningen zijn voor een groot deel verantwoordelijk voor deze stijging bij mannen (70% van de stijging) en bij vrouwen (40% van de stijging).</w:t>
      </w:r>
    </w:p>
    <w:p w14:paraId="1ACA14D8" w14:textId="77777777" w:rsidR="00696A3D" w:rsidRPr="00EF5221" w:rsidRDefault="00696A3D" w:rsidP="00696A3D">
      <w:pPr>
        <w:spacing w:line="276" w:lineRule="auto"/>
      </w:pPr>
    </w:p>
    <w:p w14:paraId="558E65AE" w14:textId="657CFB0A" w:rsidR="00696A3D" w:rsidRPr="00EF5221" w:rsidRDefault="00696A3D" w:rsidP="00696A3D">
      <w:pPr>
        <w:spacing w:line="276" w:lineRule="auto"/>
      </w:pPr>
      <w:r w:rsidRPr="00EF5221">
        <w:t xml:space="preserve">Uit de </w:t>
      </w:r>
      <w:r w:rsidR="00003D9B" w:rsidRPr="00EF5221">
        <w:t>N</w:t>
      </w:r>
      <w:r w:rsidRPr="00EF5221">
        <w:t xml:space="preserve">ationale </w:t>
      </w:r>
      <w:r w:rsidR="00003D9B" w:rsidRPr="00EF5221">
        <w:t xml:space="preserve">Enquête Arbeidsomstandigheden </w:t>
      </w:r>
      <w:r w:rsidRPr="00EF5221">
        <w:t xml:space="preserve">(2019) van TNO </w:t>
      </w:r>
      <w:r w:rsidR="00003D9B" w:rsidRPr="00EF5221">
        <w:t xml:space="preserve">en het CBS </w:t>
      </w:r>
      <w:r w:rsidRPr="00EF5221">
        <w:t xml:space="preserve">blijkt daarnaast dat vrouwen op vrijwel alle indicatoren van psychosociale arbeidsbelasting (PSA) ongunstiger scoren dan mannen. Zij ervaren minder autonomie, meer taakeisen, een hogere emotionele belasting en meer burn-outklachten. Er is geen verschil tussen mannen en vrouwen met betrekking tot de werk-privé balans. Vrouwen ervaren wel iets minder vaak dan mannen dat het werk moeilijk is. </w:t>
      </w:r>
    </w:p>
    <w:p w14:paraId="52DF9B6D" w14:textId="77777777" w:rsidR="00696A3D" w:rsidRPr="00EF5221" w:rsidRDefault="00696A3D" w:rsidP="00696A3D">
      <w:pPr>
        <w:spacing w:line="276" w:lineRule="auto"/>
      </w:pPr>
    </w:p>
    <w:p w14:paraId="675A8EEB" w14:textId="77777777" w:rsidR="00696A3D" w:rsidRPr="00EF5221" w:rsidRDefault="00696A3D" w:rsidP="00696A3D">
      <w:pPr>
        <w:spacing w:line="276" w:lineRule="auto"/>
      </w:pPr>
      <w:r w:rsidRPr="00EF5221">
        <w:t>Ik wil beter inzicht krijgen in het hogere instroomrisico van vrouwen in de WIA en zal daarom hier onderzoek naar laten verrichten.</w:t>
      </w:r>
    </w:p>
    <w:p w14:paraId="1829C3E9" w14:textId="77777777" w:rsidR="00696A3D" w:rsidRPr="00EF5221" w:rsidRDefault="00696A3D" w:rsidP="00696A3D">
      <w:pPr>
        <w:spacing w:line="276" w:lineRule="auto"/>
      </w:pPr>
    </w:p>
    <w:p w14:paraId="154D82C3" w14:textId="77777777" w:rsidR="00696A3D" w:rsidRPr="00EF5221" w:rsidRDefault="00696A3D" w:rsidP="00696A3D">
      <w:pPr>
        <w:spacing w:line="276" w:lineRule="auto"/>
        <w:rPr>
          <w:u w:val="single"/>
        </w:rPr>
      </w:pPr>
      <w:r w:rsidRPr="00EF5221">
        <w:rPr>
          <w:u w:val="single"/>
        </w:rPr>
        <w:t>1.2.5 Toename psychische ziektebeelden</w:t>
      </w:r>
    </w:p>
    <w:p w14:paraId="599E2065" w14:textId="77777777" w:rsidR="00696A3D" w:rsidRPr="00EF5221" w:rsidRDefault="00696A3D" w:rsidP="00696A3D">
      <w:pPr>
        <w:spacing w:line="276" w:lineRule="auto"/>
      </w:pPr>
      <w:r w:rsidRPr="00EF5221">
        <w:t>Hoewel de verdeling van de instroom naar diagnosehoofdgroep redelijk stabiel is tussen 2014 en 2019, valt op dat het aandeel psychische stoornissen in de instroom licht toeneemt. De oorzaak hiervan is onduidelijk. Dit zou wellicht te maken kunnen hebben met de conjunctuur, aangezien uit eerdere onderzoeken bekend is dat er in een hoogconjunctuur meer sprake kan zijn van stress dan in een laagconjunctuur. Het verband tussen conjunctuur en psychische ziektebeelden is echter niet aangetoond. In paragraaf 1.3 zal ik nader toelichten welke acties ik onderneem op het vlak van psychische ziektebeelden.</w:t>
      </w:r>
    </w:p>
    <w:p w14:paraId="224DAD51" w14:textId="77777777" w:rsidR="00696A3D" w:rsidRPr="00EF5221" w:rsidRDefault="00696A3D" w:rsidP="00696A3D">
      <w:pPr>
        <w:spacing w:line="276" w:lineRule="auto"/>
      </w:pPr>
    </w:p>
    <w:p w14:paraId="18FEC21D" w14:textId="77777777" w:rsidR="00696A3D" w:rsidRPr="00EF5221" w:rsidRDefault="00696A3D" w:rsidP="00696A3D">
      <w:pPr>
        <w:spacing w:line="276" w:lineRule="auto"/>
        <w:rPr>
          <w:b/>
          <w:u w:val="single"/>
        </w:rPr>
      </w:pPr>
      <w:r w:rsidRPr="00EF5221">
        <w:rPr>
          <w:b/>
          <w:u w:val="single"/>
        </w:rPr>
        <w:t>1.3 Conclusie WIA</w:t>
      </w:r>
    </w:p>
    <w:p w14:paraId="0069832B" w14:textId="3F741061" w:rsidR="00696A3D" w:rsidRPr="00EF5221" w:rsidRDefault="00696A3D" w:rsidP="00696A3D">
      <w:pPr>
        <w:spacing w:line="276" w:lineRule="auto"/>
      </w:pPr>
      <w:r w:rsidRPr="00EF5221">
        <w:t>Een groot deel van de stijging van de instroom in de WIA is goed te duiden als het logische gevolg van geïmplementeerd beleid of de positieve economische ontwikkelingen in de afgelopen jaren. Ook is het totaal aantal mensen dat een arbeidsongeschiktheidsuitkering ontvangt (WAO en WIA samen) als aandeel van het aantal verzekerden afgenomen. In 2014 was dit nog 8,1 per 100 verzekerden, in 2019 7,7. De uitval door arbeidsongeschiktheid is dus relatief afgenomen. Daarnaast is de werkhervatting binnen de WGA toegenomen; er vinden dus relatief meer personen in de WGA een baan. Hierbij moet wel opgemerkt</w:t>
      </w:r>
      <w:r w:rsidR="00003D9B" w:rsidRPr="00EF5221">
        <w:t xml:space="preserve"> dat dit deels een hoogconjunctuureffect is.</w:t>
      </w:r>
      <w:r w:rsidRPr="00EF5221">
        <w:t xml:space="preserve"> </w:t>
      </w:r>
      <w:r w:rsidR="00003D9B" w:rsidRPr="00EF5221">
        <w:t>B</w:t>
      </w:r>
      <w:r w:rsidRPr="00EF5221">
        <w:t xml:space="preserve">ij economische neergang </w:t>
      </w:r>
      <w:r w:rsidR="00003D9B" w:rsidRPr="00EF5221">
        <w:t xml:space="preserve">zal </w:t>
      </w:r>
      <w:r w:rsidRPr="00EF5221">
        <w:t xml:space="preserve">het aantal verzekerden </w:t>
      </w:r>
      <w:r w:rsidR="00003D9B" w:rsidRPr="00EF5221">
        <w:t xml:space="preserve">immers </w:t>
      </w:r>
      <w:r w:rsidRPr="00EF5221">
        <w:t>afne</w:t>
      </w:r>
      <w:r w:rsidR="00003D9B" w:rsidRPr="00EF5221">
        <w:t>men</w:t>
      </w:r>
      <w:r w:rsidRPr="00EF5221">
        <w:t xml:space="preserve"> en hierdoor </w:t>
      </w:r>
      <w:r w:rsidR="00003D9B" w:rsidRPr="00EF5221">
        <w:t xml:space="preserve">zal </w:t>
      </w:r>
      <w:r w:rsidRPr="00EF5221">
        <w:t xml:space="preserve">het aantal arbeidsongeschikten per 100 verzekerden </w:t>
      </w:r>
      <w:r w:rsidR="00003D9B" w:rsidRPr="00EF5221">
        <w:t xml:space="preserve">op dat moment </w:t>
      </w:r>
      <w:r w:rsidRPr="00EF5221">
        <w:t>waarschijnlijk oplopen.</w:t>
      </w:r>
    </w:p>
    <w:p w14:paraId="6AD9B7AC" w14:textId="77777777" w:rsidR="00696A3D" w:rsidRPr="00EF5221" w:rsidRDefault="00696A3D" w:rsidP="00696A3D">
      <w:pPr>
        <w:spacing w:line="276" w:lineRule="auto"/>
      </w:pPr>
    </w:p>
    <w:p w14:paraId="3D684463" w14:textId="77777777" w:rsidR="00696A3D" w:rsidRPr="00EF5221" w:rsidRDefault="00696A3D" w:rsidP="00696A3D">
      <w:pPr>
        <w:spacing w:line="276" w:lineRule="auto"/>
        <w:rPr>
          <w:rFonts w:eastAsiaTheme="minorHAnsi" w:cstheme="minorBidi"/>
          <w:color w:val="auto"/>
          <w:lang w:eastAsia="en-US"/>
        </w:rPr>
      </w:pPr>
      <w:r w:rsidRPr="00EF5221">
        <w:rPr>
          <w:i/>
        </w:rPr>
        <w:t>Duurzame inzetbaarheid</w:t>
      </w:r>
    </w:p>
    <w:p w14:paraId="6414586A" w14:textId="62A52357" w:rsidR="00696A3D" w:rsidRPr="00EF5221" w:rsidRDefault="00696A3D" w:rsidP="00696A3D">
      <w:pPr>
        <w:spacing w:line="276" w:lineRule="auto"/>
        <w:rPr>
          <w:rFonts w:eastAsiaTheme="minorHAnsi" w:cstheme="minorBidi"/>
          <w:color w:val="auto"/>
          <w:lang w:eastAsia="en-US"/>
        </w:rPr>
      </w:pPr>
      <w:r w:rsidRPr="00EF5221">
        <w:rPr>
          <w:rFonts w:eastAsiaTheme="minorHAnsi" w:cstheme="minorBidi"/>
          <w:color w:val="auto"/>
          <w:szCs w:val="22"/>
          <w:lang w:eastAsia="en-US"/>
        </w:rPr>
        <w:t xml:space="preserve">De bevinding dat de uitval onder werknemers van 60 jaar en ouder toeneemt wijst op het grote belang van een verdere verbetering van de duurzame inzetbaarheid van </w:t>
      </w:r>
      <w:r w:rsidR="00BC7C07" w:rsidRPr="00EF5221">
        <w:rPr>
          <w:rFonts w:eastAsiaTheme="minorHAnsi" w:cstheme="minorBidi"/>
          <w:color w:val="auto"/>
          <w:szCs w:val="22"/>
          <w:lang w:eastAsia="en-US"/>
        </w:rPr>
        <w:t xml:space="preserve">(oudere) </w:t>
      </w:r>
      <w:r w:rsidRPr="00EF5221">
        <w:rPr>
          <w:rFonts w:eastAsiaTheme="minorHAnsi" w:cstheme="minorBidi"/>
          <w:color w:val="auto"/>
          <w:szCs w:val="22"/>
          <w:lang w:eastAsia="en-US"/>
        </w:rPr>
        <w:t xml:space="preserve">werknemers. </w:t>
      </w:r>
      <w:r w:rsidRPr="00EF5221">
        <w:rPr>
          <w:rFonts w:eastAsiaTheme="minorHAnsi" w:cstheme="minorBidi"/>
          <w:color w:val="auto"/>
          <w:lang w:eastAsia="en-US"/>
        </w:rPr>
        <w:t xml:space="preserve">Het kabinet vindt het belangrijk dat werkenden zoveel </w:t>
      </w:r>
      <w:r w:rsidRPr="00EF5221">
        <w:rPr>
          <w:rFonts w:eastAsiaTheme="minorHAnsi" w:cstheme="minorBidi"/>
          <w:color w:val="auto"/>
          <w:lang w:eastAsia="en-US"/>
        </w:rPr>
        <w:lastRenderedPageBreak/>
        <w:t xml:space="preserve">mogelijk gemotiveerd, gezond en productief blijven tot hun pensioen. Hiervoor is het nodig dat alle werkenden en werkgevers regelmatig stil staan bij duurzame inzetbaarheid, gezamenlijk vooruitkijken en gericht aan de slag gaan. In het Pensioenakkoord uit 2019 is daarom afgesproken dat het kabinet met de Maatwerkregeling Duurzame Inzetbaarheid &amp; Eerder Uittreden de komende jaren een forse impuls geeft aan duurzame inzetbaarheid. De MDI&amp;EU ziet op het faciliteren van sectorale maatwerkafspraken rondom duurzame inzetbaarheid en eerder uittreden, met als doel eraan bij te dragen dat uiteindelijk alle werkenden hun AOW-leeftijd gezond werkend kunnen bereiken; ook degenen die zwaar werk verrichten. Samenwerkingsverbanden van sociale partners in sectoren kunnen vanaf juni 2021 subsidieaanvragen voor activiteitenplannen indienen. Het kabinet stelt voor de MDI&amp;EU €1 miljard beschikbaar voor de periode 2021 tot en met 2025. Uw Kamer is per brief op </w:t>
      </w:r>
      <w:r w:rsidR="00BC7C07" w:rsidRPr="00EF5221">
        <w:rPr>
          <w:rFonts w:eastAsiaTheme="minorHAnsi" w:cstheme="minorBidi"/>
          <w:color w:val="auto"/>
          <w:lang w:eastAsia="en-US"/>
        </w:rPr>
        <w:t>6</w:t>
      </w:r>
      <w:r w:rsidRPr="00EF5221">
        <w:rPr>
          <w:rFonts w:eastAsiaTheme="minorHAnsi" w:cstheme="minorBidi"/>
          <w:color w:val="auto"/>
          <w:lang w:eastAsia="en-US"/>
        </w:rPr>
        <w:t xml:space="preserve"> juli 2020 over de contouren van de MDI&amp;EU geïnformeerd.</w:t>
      </w:r>
      <w:r w:rsidRPr="00EF5221">
        <w:rPr>
          <w:rStyle w:val="Voetnootmarkering"/>
          <w:rFonts w:eastAsiaTheme="minorHAnsi" w:cstheme="minorBidi"/>
          <w:color w:val="auto"/>
          <w:lang w:eastAsia="en-US"/>
        </w:rPr>
        <w:footnoteReference w:id="8"/>
      </w:r>
      <w:r w:rsidRPr="00EF5221">
        <w:rPr>
          <w:rFonts w:eastAsiaTheme="minorHAnsi" w:cstheme="minorBidi"/>
          <w:color w:val="auto"/>
          <w:lang w:eastAsia="en-US"/>
        </w:rPr>
        <w:t xml:space="preserve"> </w:t>
      </w:r>
      <w:r w:rsidR="009B75E0" w:rsidRPr="00EF5221">
        <w:rPr>
          <w:rFonts w:eastAsiaTheme="minorHAnsi" w:cstheme="minorBidi"/>
          <w:color w:val="auto"/>
          <w:lang w:eastAsia="en-US"/>
        </w:rPr>
        <w:t xml:space="preserve">Ook is uw kamer eerder geïnformeerd over het </w:t>
      </w:r>
      <w:r w:rsidR="009B75E0" w:rsidRPr="00EF5221">
        <w:t>Meerjarig Investeringsprogramma Duurzame Inzetbaarheid en Leven Lang Ontwikkelen (MIP)</w:t>
      </w:r>
      <w:r w:rsidR="009B75E0" w:rsidRPr="00EF5221">
        <w:rPr>
          <w:rStyle w:val="Voetnootmarkering"/>
        </w:rPr>
        <w:footnoteReference w:id="9"/>
      </w:r>
      <w:r w:rsidR="009B75E0" w:rsidRPr="00EF5221">
        <w:t xml:space="preserve">, waarvoor structureel 10 miljoen euro beschikbaar is vanuit het Pensioenakkoord. Doel van dit programma is om bewustwording te stimuleren en kennis en interventies beter toepasbaar te maken en te verspreiden. </w:t>
      </w:r>
    </w:p>
    <w:p w14:paraId="7B90BB29" w14:textId="77777777" w:rsidR="00696A3D" w:rsidRPr="00EF5221" w:rsidRDefault="00696A3D" w:rsidP="00696A3D">
      <w:pPr>
        <w:spacing w:line="276" w:lineRule="auto"/>
      </w:pPr>
    </w:p>
    <w:p w14:paraId="7A69203B" w14:textId="77777777" w:rsidR="00696A3D" w:rsidRPr="00EF5221" w:rsidRDefault="00696A3D" w:rsidP="00696A3D">
      <w:pPr>
        <w:spacing w:line="276" w:lineRule="auto"/>
        <w:rPr>
          <w:i/>
        </w:rPr>
      </w:pPr>
      <w:r w:rsidRPr="00EF5221">
        <w:rPr>
          <w:i/>
        </w:rPr>
        <w:t>Instroomkans vrouwen</w:t>
      </w:r>
    </w:p>
    <w:p w14:paraId="2E067FE1" w14:textId="77777777" w:rsidR="00696A3D" w:rsidRPr="00EF5221" w:rsidRDefault="00696A3D" w:rsidP="00696A3D">
      <w:pPr>
        <w:spacing w:line="276" w:lineRule="auto"/>
      </w:pPr>
      <w:r w:rsidRPr="00EF5221">
        <w:t>De analyse en eerder onderzoek geeft geen duidelijkheid over de stijging van het instroomrisico van vrouwen. Ik zal daarom – zoals ik ook in paragraaf 1.2 heb aangegeven - een onderzoek laten uitvoeren naar het hogere instroomrisico van vrouwen in de WIA.</w:t>
      </w:r>
    </w:p>
    <w:p w14:paraId="4A64ABBC" w14:textId="77777777" w:rsidR="00696A3D" w:rsidRPr="00EF5221" w:rsidRDefault="00696A3D" w:rsidP="00696A3D">
      <w:pPr>
        <w:spacing w:line="276" w:lineRule="auto"/>
      </w:pPr>
    </w:p>
    <w:p w14:paraId="131D32B3" w14:textId="77777777" w:rsidR="00696A3D" w:rsidRPr="00EF5221" w:rsidRDefault="00696A3D" w:rsidP="00696A3D">
      <w:pPr>
        <w:spacing w:line="276" w:lineRule="auto"/>
        <w:rPr>
          <w:i/>
        </w:rPr>
      </w:pPr>
      <w:r w:rsidRPr="00EF5221">
        <w:rPr>
          <w:i/>
        </w:rPr>
        <w:t>Psychische ziektebeelden</w:t>
      </w:r>
    </w:p>
    <w:p w14:paraId="622EC9FA" w14:textId="77777777" w:rsidR="00696A3D" w:rsidRPr="00EF5221" w:rsidRDefault="00696A3D" w:rsidP="00696A3D">
      <w:pPr>
        <w:spacing w:line="276" w:lineRule="auto"/>
      </w:pPr>
      <w:r w:rsidRPr="00EF5221">
        <w:t>Het aantal mensen met burn-outklachten vertoont de laatste jaren een stijgende lijn. Om hier meer inzicht in te krijgen is TNO gevraagd onderzoek te doen naar de achterliggende oorzaken van burn-outklachten in relatie tot werk-privé omstandigheden. Conform de motie van het lid Renkema</w:t>
      </w:r>
      <w:r w:rsidRPr="00EF5221">
        <w:rPr>
          <w:rStyle w:val="Voetnootmarkering"/>
        </w:rPr>
        <w:footnoteReference w:id="10"/>
      </w:r>
      <w:r w:rsidRPr="00EF5221">
        <w:t xml:space="preserve"> worden ook effecten van maatschappelijke ontwikkelingen meegenomen. De tussenresultaten zijn op 19 december 2019</w:t>
      </w:r>
      <w:r w:rsidRPr="00EF5221">
        <w:rPr>
          <w:rStyle w:val="Voetnootmarkering"/>
        </w:rPr>
        <w:footnoteReference w:id="11"/>
      </w:r>
      <w:r w:rsidRPr="00EF5221">
        <w:t xml:space="preserve"> aan uw Kamer toegezonden. Het eindrapport is binnenkort gereed en zal nog dit jaar aan uw Kamer worden toegezonden. </w:t>
      </w:r>
    </w:p>
    <w:p w14:paraId="38076A91" w14:textId="77777777" w:rsidR="00696A3D" w:rsidRPr="00EF5221" w:rsidRDefault="00696A3D" w:rsidP="00696A3D">
      <w:pPr>
        <w:spacing w:line="276" w:lineRule="auto"/>
      </w:pPr>
    </w:p>
    <w:p w14:paraId="0F9001FD" w14:textId="77777777" w:rsidR="00696A3D" w:rsidRPr="00EF5221" w:rsidRDefault="00696A3D" w:rsidP="00696A3D">
      <w:pPr>
        <w:spacing w:line="276" w:lineRule="auto"/>
      </w:pPr>
      <w:r w:rsidRPr="00EF5221">
        <w:t>Eerder heb ik uw Kamer aangegeven</w:t>
      </w:r>
      <w:r w:rsidRPr="00EF5221">
        <w:rPr>
          <w:rStyle w:val="Voetnootmarkering"/>
        </w:rPr>
        <w:footnoteReference w:id="12"/>
      </w:r>
      <w:r w:rsidRPr="00EF5221">
        <w:t xml:space="preserve"> private verzekeraars graag te willen helpen in het verbeteren van de kwaliteit en duurzaamheid van de re-integratie. Daarom zal ik in 2021 onderzoek laten verrichten naar de eisen die psychische ziektebeelden stellen aan de dienstverlening. Hiermee kunnen UWV en eigenrisicodragers hun dienstverlening voor deze groep verbeteren. De toename van het aantal WIA-gerechtigden met een psychisch ziektebeeld onderstreept het belang van dit onderzoek.</w:t>
      </w:r>
      <w:r w:rsidRPr="00EF5221">
        <w:br/>
      </w:r>
    </w:p>
    <w:p w14:paraId="22A8FB10" w14:textId="77777777" w:rsidR="00696A3D" w:rsidRPr="00EF5221" w:rsidRDefault="00696A3D" w:rsidP="00696A3D">
      <w:pPr>
        <w:spacing w:line="276" w:lineRule="auto"/>
      </w:pPr>
      <w:r w:rsidRPr="00EF5221">
        <w:rPr>
          <w:i/>
        </w:rPr>
        <w:t>Aanbevelingen sociale partners</w:t>
      </w:r>
    </w:p>
    <w:p w14:paraId="47B45879" w14:textId="4AABBF4F" w:rsidR="00696A3D" w:rsidRPr="00EF5221" w:rsidRDefault="00696A3D" w:rsidP="00696A3D">
      <w:pPr>
        <w:spacing w:line="276" w:lineRule="auto"/>
      </w:pPr>
      <w:r w:rsidRPr="00EF5221">
        <w:t xml:space="preserve">Verder hebben </w:t>
      </w:r>
      <w:r w:rsidR="00BA43D3" w:rsidRPr="00EF5221">
        <w:t>sociale partners mij tien</w:t>
      </w:r>
      <w:r w:rsidRPr="00EF5221">
        <w:t xml:space="preserve"> aanbevelingen gedaan om de arbeidsparticipatie van arbeidsongeschikte werknemers te verbeteren. Ik ben op </w:t>
      </w:r>
      <w:r w:rsidRPr="00EF5221">
        <w:lastRenderedPageBreak/>
        <w:t xml:space="preserve">dit moment in gesprek met sociale partners over deze aanbevelingen. In het eerste kwartaal van 2021 verwacht ik de aanbevelingen en mijn </w:t>
      </w:r>
      <w:r w:rsidR="00BA43D3" w:rsidRPr="00EF5221">
        <w:t xml:space="preserve">reactie </w:t>
      </w:r>
      <w:r w:rsidRPr="00EF5221">
        <w:t>daarop met uw Kamer te delen.</w:t>
      </w:r>
    </w:p>
    <w:p w14:paraId="6CB2F49E" w14:textId="77777777" w:rsidR="00696A3D" w:rsidRPr="00EF5221" w:rsidRDefault="00696A3D" w:rsidP="00696A3D">
      <w:pPr>
        <w:pStyle w:val="Geenafstand"/>
        <w:spacing w:line="276" w:lineRule="auto"/>
        <w:rPr>
          <w:szCs w:val="18"/>
          <w:lang w:val="nl-NL"/>
        </w:rPr>
      </w:pPr>
    </w:p>
    <w:p w14:paraId="285F495C" w14:textId="77777777" w:rsidR="00696A3D" w:rsidRPr="00EF5221" w:rsidRDefault="00696A3D" w:rsidP="00696A3D">
      <w:pPr>
        <w:pStyle w:val="Geenafstand"/>
        <w:spacing w:line="276" w:lineRule="auto"/>
        <w:rPr>
          <w:i/>
          <w:szCs w:val="18"/>
          <w:lang w:val="nl-NL"/>
        </w:rPr>
      </w:pPr>
      <w:r w:rsidRPr="00EF5221">
        <w:rPr>
          <w:i/>
          <w:szCs w:val="18"/>
          <w:lang w:val="nl-NL"/>
        </w:rPr>
        <w:t>Conclusie</w:t>
      </w:r>
    </w:p>
    <w:p w14:paraId="6A8E20EA" w14:textId="4A688E8A" w:rsidR="00696A3D" w:rsidRPr="00EF5221" w:rsidRDefault="00696A3D" w:rsidP="00696A3D">
      <w:pPr>
        <w:autoSpaceDN/>
        <w:spacing w:line="276" w:lineRule="auto"/>
        <w:rPr>
          <w:rFonts w:ascii="Times New Roman" w:hAnsi="Times New Roman" w:cs="Times New Roman"/>
          <w:color w:val="auto"/>
          <w:sz w:val="24"/>
          <w:szCs w:val="24"/>
        </w:rPr>
      </w:pPr>
      <w:r w:rsidRPr="00EF5221">
        <w:t xml:space="preserve">Ik vind de </w:t>
      </w:r>
      <w:r w:rsidR="00966A40" w:rsidRPr="00EF5221">
        <w:t xml:space="preserve">stijging van de WIA-instroom in de afgelopen jaren </w:t>
      </w:r>
      <w:r w:rsidRPr="00EF5221">
        <w:t xml:space="preserve">op basis van het huidige beleid verklaarbaar en deze </w:t>
      </w:r>
      <w:r w:rsidR="00966A40" w:rsidRPr="00EF5221">
        <w:t xml:space="preserve">geeft </w:t>
      </w:r>
      <w:r w:rsidRPr="00EF5221">
        <w:t xml:space="preserve">mij geen aanleiding om beleidsinterventies te plegen op het terrein van de WIA. Als </w:t>
      </w:r>
      <w:r w:rsidR="00003D9B" w:rsidRPr="00EF5221">
        <w:t xml:space="preserve">uw </w:t>
      </w:r>
      <w:r w:rsidRPr="00EF5221">
        <w:t xml:space="preserve">Kamer niettemin een beeld wenst van de mogelijkheden om de uitgaven te </w:t>
      </w:r>
      <w:r w:rsidR="00675651" w:rsidRPr="00EF5221">
        <w:t>verminderen</w:t>
      </w:r>
      <w:r w:rsidRPr="00EF5221">
        <w:t xml:space="preserve"> dan verwijs ik u naar de ombuigings</w:t>
      </w:r>
      <w:r w:rsidR="00003D9B" w:rsidRPr="00EF5221">
        <w:t>- en intensiverings</w:t>
      </w:r>
      <w:r w:rsidRPr="00EF5221">
        <w:t>lijst van het Ministerie van Financiën</w:t>
      </w:r>
      <w:r w:rsidR="00845BEA" w:rsidRPr="00EF5221">
        <w:t xml:space="preserve"> </w:t>
      </w:r>
      <w:r w:rsidR="00DC1A44" w:rsidRPr="00EF5221">
        <w:t xml:space="preserve">en het IBO “Geschikt voor de arbeidsmarkt” </w:t>
      </w:r>
      <w:r w:rsidRPr="00EF5221">
        <w:t>waarin maatregelen zijn opgenomen om de instroom in de WIA te beperken.</w:t>
      </w:r>
      <w:r w:rsidR="00845BEA" w:rsidRPr="00EF5221">
        <w:rPr>
          <w:rStyle w:val="Voetnootmarkering"/>
        </w:rPr>
        <w:footnoteReference w:id="13"/>
      </w:r>
    </w:p>
    <w:p w14:paraId="2C3479BB" w14:textId="77777777" w:rsidR="006D56E4" w:rsidRPr="00EF5221" w:rsidRDefault="006D56E4" w:rsidP="006D56E4">
      <w:pPr>
        <w:spacing w:line="276" w:lineRule="auto"/>
      </w:pPr>
    </w:p>
    <w:p w14:paraId="742EC5A2" w14:textId="77777777" w:rsidR="006D56E4" w:rsidRPr="00EF5221" w:rsidRDefault="006D56E4" w:rsidP="00C712F4">
      <w:pPr>
        <w:spacing w:line="276" w:lineRule="auto"/>
        <w:rPr>
          <w:b/>
          <w:u w:val="single"/>
        </w:rPr>
      </w:pPr>
      <w:r w:rsidRPr="00EF5221">
        <w:rPr>
          <w:b/>
          <w:u w:val="single"/>
        </w:rPr>
        <w:t>2. ZW</w:t>
      </w:r>
    </w:p>
    <w:p w14:paraId="51438D03" w14:textId="02CE8B80" w:rsidR="00B45358" w:rsidRPr="00EF5221" w:rsidRDefault="00B45358" w:rsidP="006D56E4">
      <w:pPr>
        <w:spacing w:line="276" w:lineRule="auto"/>
      </w:pPr>
    </w:p>
    <w:p w14:paraId="48CA6A44" w14:textId="48C02DFC" w:rsidR="00B45358" w:rsidRPr="00EF5221" w:rsidRDefault="00B45358" w:rsidP="006D56E4">
      <w:pPr>
        <w:spacing w:line="276" w:lineRule="auto"/>
        <w:rPr>
          <w:b/>
        </w:rPr>
      </w:pPr>
      <w:r w:rsidRPr="00EF5221">
        <w:rPr>
          <w:b/>
        </w:rPr>
        <w:t xml:space="preserve">2.1 Context analyse </w:t>
      </w:r>
    </w:p>
    <w:p w14:paraId="700CFA49" w14:textId="723E35E9" w:rsidR="00B45358" w:rsidRPr="00EF5221" w:rsidRDefault="00B45358" w:rsidP="00B45358">
      <w:pPr>
        <w:pStyle w:val="Geenafstand"/>
        <w:spacing w:line="276" w:lineRule="auto"/>
        <w:rPr>
          <w:szCs w:val="18"/>
          <w:lang w:val="nl-NL"/>
        </w:rPr>
      </w:pPr>
      <w:r w:rsidRPr="00EF5221">
        <w:rPr>
          <w:szCs w:val="18"/>
          <w:lang w:val="nl-NL"/>
        </w:rPr>
        <w:t xml:space="preserve">Allereerst wordt opgemerkt dat de analyse alleen ziet op de ontwikkelingen van de publieke ZW-lasten. We hebben immers geen zicht op het private deel van de ZW-lasten. Onder het private deel van de hybride markt vallen de eigenrisicodragers. Zij dragen de ZW-lasten zelf of </w:t>
      </w:r>
      <w:r w:rsidR="00C712F4" w:rsidRPr="00EF5221">
        <w:rPr>
          <w:szCs w:val="18"/>
          <w:lang w:val="nl-NL"/>
        </w:rPr>
        <w:t>her</w:t>
      </w:r>
      <w:r w:rsidRPr="00EF5221">
        <w:rPr>
          <w:szCs w:val="18"/>
          <w:lang w:val="nl-NL"/>
        </w:rPr>
        <w:t xml:space="preserve">verzekeren zich voor deze lasten op de private markt. UWV beschikt derhalve niet over cijfers over de private ZW-lasten. </w:t>
      </w:r>
    </w:p>
    <w:p w14:paraId="0EC2F71B" w14:textId="77777777" w:rsidR="00B45358" w:rsidRPr="00EF5221" w:rsidRDefault="00B45358" w:rsidP="00D56771">
      <w:pPr>
        <w:spacing w:line="276" w:lineRule="auto"/>
      </w:pPr>
    </w:p>
    <w:p w14:paraId="38EFB009" w14:textId="77777777" w:rsidR="00D56771" w:rsidRPr="00EF5221" w:rsidRDefault="00B45358" w:rsidP="00755C56">
      <w:pPr>
        <w:autoSpaceDN/>
        <w:spacing w:line="276" w:lineRule="auto"/>
        <w:rPr>
          <w:rFonts w:ascii="Times New Roman" w:hAnsi="Times New Roman" w:cs="Times New Roman"/>
          <w:color w:val="auto"/>
          <w:sz w:val="24"/>
          <w:szCs w:val="24"/>
        </w:rPr>
      </w:pPr>
      <w:r w:rsidRPr="00EF5221">
        <w:t>Daarnaast wordt opgemerkt dat de</w:t>
      </w:r>
      <w:r w:rsidR="006D56E4" w:rsidRPr="00EF5221">
        <w:t xml:space="preserve"> omvang van de ZW</w:t>
      </w:r>
      <w:r w:rsidRPr="00EF5221">
        <w:t>-</w:t>
      </w:r>
      <w:r w:rsidR="006D56E4" w:rsidRPr="00EF5221">
        <w:t xml:space="preserve">populatie verschilt over tijd. Zo spelen conjuncturele ontwikkelingen een rol op het gebruik van de ZW. Ook speelt strategisch gedrag van werkgevers een rol, bijvoorbeeld in keuzes voor het werken met of zonder uitzendbeding of bij de beslissing om eigenrisicodrager te worden. Hierdoor </w:t>
      </w:r>
      <w:r w:rsidR="00A83024" w:rsidRPr="00EF5221">
        <w:t xml:space="preserve">zijn </w:t>
      </w:r>
      <w:r w:rsidR="006D56E4" w:rsidRPr="00EF5221">
        <w:t xml:space="preserve">bepaalde gegevens over de ZW niet voorhanden. Deze zaken bemoeilijken het analyseren van patronen over tijd. </w:t>
      </w:r>
      <w:r w:rsidR="00D56771" w:rsidRPr="00EF5221">
        <w:t>De ontwikkelingen in de ZW kunnen momenteel kwalitatief worden geanalyseerd, maar er kunnen geen kwantitatieve uitspraken worden gedaan over de mate van stijging.</w:t>
      </w:r>
      <w:r w:rsidR="00D56771" w:rsidRPr="00EF5221">
        <w:rPr>
          <w:rStyle w:val="Voetnootmarkering"/>
        </w:rPr>
        <w:footnoteReference w:id="14"/>
      </w:r>
      <w:r w:rsidR="00D56771" w:rsidRPr="00EF5221">
        <w:t xml:space="preserve"> </w:t>
      </w:r>
      <w:r w:rsidR="00D56771" w:rsidRPr="00EF5221">
        <w:rPr>
          <w:rFonts w:ascii="Times New Roman" w:hAnsi="Times New Roman" w:cs="Times New Roman"/>
          <w:color w:val="auto"/>
          <w:sz w:val="24"/>
          <w:szCs w:val="24"/>
        </w:rPr>
        <w:t xml:space="preserve"> </w:t>
      </w:r>
    </w:p>
    <w:p w14:paraId="52C17FFE" w14:textId="6727F8D9" w:rsidR="00D56771" w:rsidRPr="00EF5221" w:rsidRDefault="00D56771" w:rsidP="00755C56">
      <w:pPr>
        <w:pStyle w:val="Tekstopmerking"/>
      </w:pPr>
    </w:p>
    <w:p w14:paraId="4160DBBA" w14:textId="29984CA8" w:rsidR="006D56E4" w:rsidRPr="00EF5221" w:rsidRDefault="006D56E4" w:rsidP="006D56E4">
      <w:pPr>
        <w:spacing w:line="276" w:lineRule="auto"/>
      </w:pPr>
      <w:r w:rsidRPr="00EF5221">
        <w:t xml:space="preserve">Hierdoor kunnen de ontwikkelingen in de ZW kwalitatief worden geanalyseerd, maar kunnen er geen kwantitatieve uitspraken worden gedaan over de mate van stijging. </w:t>
      </w:r>
      <w:r w:rsidR="007F2C70" w:rsidRPr="00EF5221">
        <w:t xml:space="preserve">Indien de bron niet nader gespecificeerd is voor de ZW is de data afkomstig van het UWV. </w:t>
      </w:r>
    </w:p>
    <w:p w14:paraId="3BDA3C6C" w14:textId="77777777" w:rsidR="006D56E4" w:rsidRPr="00EF5221" w:rsidRDefault="006D56E4" w:rsidP="006D56E4">
      <w:pPr>
        <w:spacing w:line="276" w:lineRule="auto"/>
      </w:pPr>
    </w:p>
    <w:p w14:paraId="3E4CCA82" w14:textId="460EDC58" w:rsidR="006D56E4" w:rsidRPr="00EF5221" w:rsidRDefault="00B64863" w:rsidP="006D56E4">
      <w:pPr>
        <w:spacing w:line="276" w:lineRule="auto"/>
      </w:pPr>
      <w:r w:rsidRPr="00EF5221">
        <w:t xml:space="preserve">Ook </w:t>
      </w:r>
      <w:r w:rsidR="006D56E4" w:rsidRPr="00EF5221">
        <w:t>is de ZW geen homogene populatie. De ZW bestaat uit zeven verschillende vangnetgroepen met ieder verschillende achtergronden en kenmerken.</w:t>
      </w:r>
      <w:r w:rsidR="009C7BB5" w:rsidRPr="00EF5221">
        <w:t xml:space="preserve"> Het gaat om: </w:t>
      </w:r>
    </w:p>
    <w:p w14:paraId="2301BDD0" w14:textId="2E546E38" w:rsidR="006D56E4" w:rsidRPr="00EF5221" w:rsidRDefault="009C7BB5" w:rsidP="006D56E4">
      <w:pPr>
        <w:pStyle w:val="Geenafstand"/>
        <w:numPr>
          <w:ilvl w:val="0"/>
          <w:numId w:val="13"/>
        </w:numPr>
        <w:spacing w:line="276" w:lineRule="auto"/>
        <w:rPr>
          <w:szCs w:val="18"/>
          <w:lang w:val="nl-NL"/>
        </w:rPr>
      </w:pPr>
      <w:r w:rsidRPr="00EF5221">
        <w:rPr>
          <w:szCs w:val="18"/>
          <w:lang w:val="nl-NL"/>
        </w:rPr>
        <w:t>w</w:t>
      </w:r>
      <w:r w:rsidR="006D56E4" w:rsidRPr="00EF5221">
        <w:rPr>
          <w:szCs w:val="18"/>
          <w:lang w:val="nl-NL"/>
        </w:rPr>
        <w:t>erknemers die ziek zijn door zwangerschap of bevalling;</w:t>
      </w:r>
    </w:p>
    <w:p w14:paraId="14DB8D36" w14:textId="7815135C" w:rsidR="006D56E4" w:rsidRPr="00EF5221" w:rsidRDefault="009C7BB5" w:rsidP="006D56E4">
      <w:pPr>
        <w:pStyle w:val="Geenafstand"/>
        <w:numPr>
          <w:ilvl w:val="0"/>
          <w:numId w:val="13"/>
        </w:numPr>
        <w:spacing w:line="276" w:lineRule="auto"/>
        <w:rPr>
          <w:szCs w:val="18"/>
          <w:lang w:val="nl-NL"/>
        </w:rPr>
      </w:pPr>
      <w:r w:rsidRPr="00EF5221">
        <w:rPr>
          <w:szCs w:val="18"/>
          <w:lang w:val="nl-NL"/>
        </w:rPr>
        <w:t>w</w:t>
      </w:r>
      <w:r w:rsidR="006D56E4" w:rsidRPr="00EF5221">
        <w:rPr>
          <w:szCs w:val="18"/>
          <w:lang w:val="nl-NL"/>
        </w:rPr>
        <w:t>erknemers die ziek zijn door orgaandonatie;</w:t>
      </w:r>
    </w:p>
    <w:p w14:paraId="45C51062" w14:textId="73990CAA" w:rsidR="006D56E4" w:rsidRPr="00EF5221" w:rsidRDefault="009C7BB5" w:rsidP="006D56E4">
      <w:pPr>
        <w:pStyle w:val="Geenafstand"/>
        <w:numPr>
          <w:ilvl w:val="0"/>
          <w:numId w:val="13"/>
        </w:numPr>
        <w:spacing w:line="276" w:lineRule="auto"/>
        <w:rPr>
          <w:szCs w:val="18"/>
          <w:lang w:val="nl-NL"/>
        </w:rPr>
      </w:pPr>
      <w:proofErr w:type="spellStart"/>
      <w:r w:rsidRPr="00EF5221">
        <w:rPr>
          <w:szCs w:val="18"/>
          <w:lang w:val="nl-NL"/>
        </w:rPr>
        <w:t>e</w:t>
      </w:r>
      <w:r w:rsidR="006D56E4" w:rsidRPr="00EF5221">
        <w:rPr>
          <w:szCs w:val="18"/>
          <w:lang w:val="nl-NL"/>
        </w:rPr>
        <w:t>indedienstverbanders</w:t>
      </w:r>
      <w:proofErr w:type="spellEnd"/>
      <w:r w:rsidR="006D56E4" w:rsidRPr="00EF5221">
        <w:rPr>
          <w:szCs w:val="18"/>
          <w:lang w:val="nl-NL"/>
        </w:rPr>
        <w:t xml:space="preserve"> (</w:t>
      </w:r>
      <w:r w:rsidRPr="00EF5221">
        <w:rPr>
          <w:szCs w:val="18"/>
          <w:lang w:val="nl-NL"/>
        </w:rPr>
        <w:t xml:space="preserve">deze groep </w:t>
      </w:r>
      <w:r w:rsidR="006D56E4" w:rsidRPr="00EF5221">
        <w:rPr>
          <w:szCs w:val="18"/>
          <w:lang w:val="nl-NL"/>
        </w:rPr>
        <w:t>omvat ook uitzendkrachten zonder uitzendbeding);</w:t>
      </w:r>
    </w:p>
    <w:p w14:paraId="3412492F" w14:textId="5187BFB5" w:rsidR="006D56E4" w:rsidRPr="00EF5221" w:rsidRDefault="009C7BB5" w:rsidP="006D56E4">
      <w:pPr>
        <w:pStyle w:val="Geenafstand"/>
        <w:numPr>
          <w:ilvl w:val="0"/>
          <w:numId w:val="13"/>
        </w:numPr>
        <w:spacing w:line="276" w:lineRule="auto"/>
        <w:rPr>
          <w:szCs w:val="18"/>
          <w:lang w:val="nl-NL"/>
        </w:rPr>
      </w:pPr>
      <w:r w:rsidRPr="00EF5221">
        <w:rPr>
          <w:szCs w:val="18"/>
          <w:lang w:val="nl-NL"/>
        </w:rPr>
        <w:t>u</w:t>
      </w:r>
      <w:r w:rsidR="006D56E4" w:rsidRPr="00EF5221">
        <w:rPr>
          <w:szCs w:val="18"/>
          <w:lang w:val="nl-NL"/>
        </w:rPr>
        <w:t>itzendkrachten met uitzendbeding;</w:t>
      </w:r>
    </w:p>
    <w:p w14:paraId="3C8E51C9" w14:textId="5FD25699" w:rsidR="006D56E4" w:rsidRPr="00EF5221" w:rsidRDefault="009C7BB5" w:rsidP="006D56E4">
      <w:pPr>
        <w:pStyle w:val="Geenafstand"/>
        <w:numPr>
          <w:ilvl w:val="0"/>
          <w:numId w:val="13"/>
        </w:numPr>
        <w:spacing w:line="276" w:lineRule="auto"/>
        <w:rPr>
          <w:szCs w:val="18"/>
          <w:lang w:val="nl-NL"/>
        </w:rPr>
      </w:pPr>
      <w:r w:rsidRPr="00EF5221">
        <w:rPr>
          <w:szCs w:val="18"/>
          <w:lang w:val="nl-NL"/>
        </w:rPr>
        <w:t>z</w:t>
      </w:r>
      <w:r w:rsidR="006D56E4" w:rsidRPr="00EF5221">
        <w:rPr>
          <w:szCs w:val="18"/>
          <w:lang w:val="nl-NL"/>
        </w:rPr>
        <w:t>ieke WW-gerechtigden;</w:t>
      </w:r>
    </w:p>
    <w:p w14:paraId="3AE47153" w14:textId="23510F3D" w:rsidR="006D56E4" w:rsidRPr="00EF5221" w:rsidRDefault="009C7BB5" w:rsidP="006D56E4">
      <w:pPr>
        <w:pStyle w:val="Geenafstand"/>
        <w:numPr>
          <w:ilvl w:val="0"/>
          <w:numId w:val="13"/>
        </w:numPr>
        <w:spacing w:line="276" w:lineRule="auto"/>
        <w:rPr>
          <w:szCs w:val="18"/>
          <w:lang w:val="nl-NL"/>
        </w:rPr>
      </w:pPr>
      <w:r w:rsidRPr="00EF5221">
        <w:rPr>
          <w:szCs w:val="18"/>
          <w:lang w:val="nl-NL"/>
        </w:rPr>
        <w:t>v</w:t>
      </w:r>
      <w:r w:rsidR="006D56E4" w:rsidRPr="00EF5221">
        <w:rPr>
          <w:szCs w:val="18"/>
          <w:lang w:val="nl-NL"/>
        </w:rPr>
        <w:t>rijwillig verzekerden; en</w:t>
      </w:r>
    </w:p>
    <w:p w14:paraId="68DC46CE" w14:textId="77C260F6" w:rsidR="006D56E4" w:rsidRPr="00EF5221" w:rsidRDefault="009C7BB5" w:rsidP="006D56E4">
      <w:pPr>
        <w:pStyle w:val="Geenafstand"/>
        <w:numPr>
          <w:ilvl w:val="0"/>
          <w:numId w:val="13"/>
        </w:numPr>
        <w:spacing w:line="276" w:lineRule="auto"/>
        <w:rPr>
          <w:szCs w:val="18"/>
          <w:lang w:val="nl-NL"/>
        </w:rPr>
      </w:pPr>
      <w:r w:rsidRPr="00EF5221">
        <w:rPr>
          <w:szCs w:val="18"/>
          <w:lang w:val="nl-NL"/>
        </w:rPr>
        <w:t>w</w:t>
      </w:r>
      <w:r w:rsidR="006D56E4" w:rsidRPr="00EF5221">
        <w:rPr>
          <w:szCs w:val="18"/>
          <w:lang w:val="nl-NL"/>
        </w:rPr>
        <w:t>erknemers met een no-riskpolis.</w:t>
      </w:r>
    </w:p>
    <w:p w14:paraId="65953BE1" w14:textId="77777777" w:rsidR="006D56E4" w:rsidRPr="00EF5221" w:rsidRDefault="006D56E4" w:rsidP="006D56E4">
      <w:pPr>
        <w:spacing w:line="276" w:lineRule="auto"/>
      </w:pPr>
    </w:p>
    <w:p w14:paraId="23972483" w14:textId="77777777" w:rsidR="00B64863" w:rsidRPr="00EF5221" w:rsidRDefault="006D56E4" w:rsidP="00B64863">
      <w:pPr>
        <w:spacing w:after="160" w:line="254" w:lineRule="auto"/>
      </w:pPr>
      <w:r w:rsidRPr="00EF5221">
        <w:lastRenderedPageBreak/>
        <w:t xml:space="preserve">Niet iedere ZW-gerechtigde stroomt op de eerste ziektedag de ZW in. </w:t>
      </w:r>
      <w:r w:rsidR="009C7BB5" w:rsidRPr="00EF5221">
        <w:t>Zo stromen z</w:t>
      </w:r>
      <w:r w:rsidRPr="00EF5221">
        <w:t xml:space="preserve">ieke WW-gerechtigden pas na dertien weken ziekte </w:t>
      </w:r>
      <w:r w:rsidR="009C7BB5" w:rsidRPr="00EF5221">
        <w:t xml:space="preserve">vanuit </w:t>
      </w:r>
      <w:r w:rsidRPr="00EF5221">
        <w:t>de WW de ZW</w:t>
      </w:r>
      <w:r w:rsidR="009C7BB5" w:rsidRPr="00EF5221">
        <w:t xml:space="preserve"> in</w:t>
      </w:r>
      <w:r w:rsidRPr="00EF5221">
        <w:t xml:space="preserve">. </w:t>
      </w:r>
      <w:r w:rsidR="00B64863" w:rsidRPr="00EF5221">
        <w:t xml:space="preserve">En </w:t>
      </w:r>
      <w:proofErr w:type="spellStart"/>
      <w:r w:rsidR="00B64863" w:rsidRPr="00EF5221">
        <w:t>eindedienstverbanders</w:t>
      </w:r>
      <w:proofErr w:type="spellEnd"/>
      <w:r w:rsidR="00B64863" w:rsidRPr="00EF5221">
        <w:t xml:space="preserve"> stromen pas de ZW in als hun arbeidscontract is afgelopen; ze kunnen voordat zij de ZW instromen pas enkele dagen ziek zijn, maar ook een aantal maanden. </w:t>
      </w:r>
    </w:p>
    <w:p w14:paraId="5967B2C3" w14:textId="31E7C664" w:rsidR="006D56E4" w:rsidRPr="00EF5221" w:rsidRDefault="006D56E4" w:rsidP="006D56E4">
      <w:pPr>
        <w:spacing w:line="276" w:lineRule="auto"/>
        <w:rPr>
          <w:b/>
          <w:u w:val="single"/>
        </w:rPr>
      </w:pPr>
      <w:r w:rsidRPr="00EF5221">
        <w:rPr>
          <w:b/>
          <w:u w:val="single"/>
        </w:rPr>
        <w:t>2.</w:t>
      </w:r>
      <w:r w:rsidR="009C7BB5" w:rsidRPr="00EF5221">
        <w:rPr>
          <w:b/>
          <w:u w:val="single"/>
        </w:rPr>
        <w:t>2</w:t>
      </w:r>
      <w:r w:rsidRPr="00EF5221">
        <w:rPr>
          <w:b/>
          <w:u w:val="single"/>
        </w:rPr>
        <w:t xml:space="preserve"> Ontwikkeling publieke ZW-lasten</w:t>
      </w:r>
    </w:p>
    <w:p w14:paraId="3079C5D7" w14:textId="0C3452D5" w:rsidR="006D56E4" w:rsidRPr="00EF5221" w:rsidRDefault="006D56E4" w:rsidP="006D56E4">
      <w:pPr>
        <w:pStyle w:val="Geenafstand"/>
        <w:spacing w:line="276" w:lineRule="auto"/>
        <w:rPr>
          <w:szCs w:val="18"/>
          <w:lang w:val="nl-NL"/>
        </w:rPr>
      </w:pPr>
      <w:r w:rsidRPr="00EF5221">
        <w:rPr>
          <w:szCs w:val="18"/>
          <w:lang w:val="nl-NL"/>
        </w:rPr>
        <w:t xml:space="preserve">De publieke ZW-lasten zijn </w:t>
      </w:r>
      <w:r w:rsidR="00707608" w:rsidRPr="00EF5221">
        <w:rPr>
          <w:szCs w:val="18"/>
          <w:lang w:val="nl-NL"/>
        </w:rPr>
        <w:t xml:space="preserve">in de periode van </w:t>
      </w:r>
      <w:r w:rsidRPr="00EF5221">
        <w:rPr>
          <w:szCs w:val="18"/>
          <w:lang w:val="nl-NL"/>
        </w:rPr>
        <w:t xml:space="preserve">2013 </w:t>
      </w:r>
      <w:r w:rsidR="00707608" w:rsidRPr="00EF5221">
        <w:rPr>
          <w:szCs w:val="18"/>
          <w:lang w:val="nl-NL"/>
        </w:rPr>
        <w:t xml:space="preserve">tot en met </w:t>
      </w:r>
      <w:r w:rsidRPr="00EF5221">
        <w:rPr>
          <w:szCs w:val="18"/>
          <w:lang w:val="nl-NL"/>
        </w:rPr>
        <w:t xml:space="preserve">2019 gestegen met 7%. De lasten namen eerst af van €1,61 miljard in 2013 naar €1,48 miljard in 2015 en stegen weer naar €1,73 miljard in 2019. In deze periode schommelde de omvang van de publieke ZW-populatie (gemeten als gemiddelde lopende ZW-uitkeringen per jaar) tussen de 87.200 en 98.400 mensen. In vergelijking met 2013 nam de ZW-populatie </w:t>
      </w:r>
      <w:r w:rsidR="00707608" w:rsidRPr="00EF5221">
        <w:rPr>
          <w:szCs w:val="18"/>
          <w:lang w:val="nl-NL"/>
        </w:rPr>
        <w:t xml:space="preserve">tot en met 2019 </w:t>
      </w:r>
      <w:r w:rsidRPr="00EF5221">
        <w:rPr>
          <w:szCs w:val="18"/>
          <w:lang w:val="nl-NL"/>
        </w:rPr>
        <w:t>toe met 2,8%</w:t>
      </w:r>
      <w:r w:rsidR="00707608" w:rsidRPr="00EF5221">
        <w:rPr>
          <w:szCs w:val="18"/>
          <w:lang w:val="nl-NL"/>
        </w:rPr>
        <w:t>,</w:t>
      </w:r>
      <w:r w:rsidRPr="00EF5221">
        <w:rPr>
          <w:szCs w:val="18"/>
          <w:lang w:val="nl-NL"/>
        </w:rPr>
        <w:t xml:space="preserve"> oftewel </w:t>
      </w:r>
      <w:r w:rsidR="009C7BB5" w:rsidRPr="00EF5221">
        <w:rPr>
          <w:szCs w:val="18"/>
          <w:lang w:val="nl-NL"/>
        </w:rPr>
        <w:t xml:space="preserve">met </w:t>
      </w:r>
      <w:r w:rsidRPr="00EF5221">
        <w:rPr>
          <w:szCs w:val="18"/>
          <w:lang w:val="nl-NL"/>
        </w:rPr>
        <w:t xml:space="preserve">2.700 uitkeringsgerechtigden. </w:t>
      </w:r>
    </w:p>
    <w:p w14:paraId="4AA78A98" w14:textId="0DB1D5D3" w:rsidR="006D56E4" w:rsidRPr="00EF5221" w:rsidRDefault="006D56E4" w:rsidP="006D56E4">
      <w:pPr>
        <w:pStyle w:val="Geenafstand"/>
        <w:spacing w:line="276" w:lineRule="auto"/>
        <w:rPr>
          <w:szCs w:val="18"/>
          <w:lang w:val="nl-NL"/>
        </w:rPr>
      </w:pPr>
    </w:p>
    <w:p w14:paraId="1A42D55E" w14:textId="0F06BAC6" w:rsidR="007B6F35" w:rsidRPr="00EF5221" w:rsidRDefault="007B6F35" w:rsidP="006D56E4">
      <w:pPr>
        <w:pStyle w:val="Geenafstand"/>
        <w:spacing w:line="276" w:lineRule="auto"/>
        <w:rPr>
          <w:szCs w:val="18"/>
          <w:lang w:val="nl-NL"/>
        </w:rPr>
      </w:pPr>
      <w:r w:rsidRPr="00EF5221">
        <w:rPr>
          <w:szCs w:val="18"/>
          <w:lang w:val="nl-NL"/>
        </w:rPr>
        <w:t>Tabel 5 Overzicht omvang ZW-populatie (gemeten als gemiddeld lopende ZW-uitkering) en publieke ZW-lasten. Bron UWV &amp; SZW</w:t>
      </w:r>
    </w:p>
    <w:tbl>
      <w:tblPr>
        <w:tblStyle w:val="Rastertabel4-Accent1"/>
        <w:tblW w:w="6549" w:type="dxa"/>
        <w:tblInd w:w="0" w:type="dxa"/>
        <w:tblLook w:val="04A0" w:firstRow="1" w:lastRow="0" w:firstColumn="1" w:lastColumn="0" w:noHBand="0" w:noVBand="1"/>
      </w:tblPr>
      <w:tblGrid>
        <w:gridCol w:w="960"/>
        <w:gridCol w:w="2296"/>
        <w:gridCol w:w="3293"/>
      </w:tblGrid>
      <w:tr w:rsidR="006D56E4" w:rsidRPr="00EF5221" w14:paraId="22CE4959" w14:textId="77777777" w:rsidTr="007B6F35">
        <w:trPr>
          <w:cnfStyle w:val="100000000000" w:firstRow="1" w:lastRow="0" w:firstColumn="0" w:lastColumn="0" w:oddVBand="0" w:evenVBand="0" w:oddHBand="0"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960" w:type="dxa"/>
            <w:hideMark/>
          </w:tcPr>
          <w:p w14:paraId="187CB99F" w14:textId="77777777" w:rsidR="006D56E4" w:rsidRPr="00EF5221" w:rsidRDefault="006D56E4">
            <w:pPr>
              <w:spacing w:line="240" w:lineRule="auto"/>
              <w:rPr>
                <w:rFonts w:eastAsia="Times New Roman" w:cs="Times New Roman"/>
                <w:color w:val="FFFFFF" w:themeColor="background1"/>
              </w:rPr>
            </w:pPr>
            <w:r w:rsidRPr="00EF5221">
              <w:rPr>
                <w:rFonts w:eastAsia="Times New Roman" w:cs="Times New Roman"/>
                <w:color w:val="FFFFFF" w:themeColor="background1"/>
              </w:rPr>
              <w:t>Jaar</w:t>
            </w:r>
          </w:p>
        </w:tc>
        <w:tc>
          <w:tcPr>
            <w:tcW w:w="2296" w:type="dxa"/>
            <w:hideMark/>
          </w:tcPr>
          <w:p w14:paraId="03E9B86C" w14:textId="77777777" w:rsidR="006D56E4" w:rsidRPr="00EF5221" w:rsidRDefault="006D56E4">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themeColor="background1"/>
              </w:rPr>
            </w:pPr>
            <w:r w:rsidRPr="00EF5221">
              <w:rPr>
                <w:rFonts w:eastAsia="Times New Roman" w:cs="Times New Roman"/>
                <w:color w:val="FFFFFF" w:themeColor="background1"/>
              </w:rPr>
              <w:t xml:space="preserve">Gemiddelde omvang ZW-populatie in publiek domein </w:t>
            </w:r>
          </w:p>
        </w:tc>
        <w:tc>
          <w:tcPr>
            <w:tcW w:w="3293" w:type="dxa"/>
            <w:hideMark/>
          </w:tcPr>
          <w:p w14:paraId="3854A86E" w14:textId="77777777" w:rsidR="006D56E4" w:rsidRPr="00EF5221" w:rsidRDefault="006D56E4">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themeColor="background1"/>
              </w:rPr>
            </w:pPr>
            <w:r w:rsidRPr="00EF5221">
              <w:rPr>
                <w:rFonts w:eastAsia="Times New Roman" w:cs="Times New Roman"/>
                <w:color w:val="FFFFFF" w:themeColor="background1"/>
              </w:rPr>
              <w:t>ZW-uitkeringslasten, lopende prijzen (x €1.000)</w:t>
            </w:r>
          </w:p>
        </w:tc>
      </w:tr>
      <w:tr w:rsidR="006D56E4" w:rsidRPr="00EF5221" w14:paraId="5926B253" w14:textId="77777777" w:rsidTr="007B6F3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5EE09673" w14:textId="77777777" w:rsidR="006D56E4" w:rsidRPr="00EF5221" w:rsidRDefault="006D56E4">
            <w:pPr>
              <w:spacing w:line="240" w:lineRule="auto"/>
              <w:jc w:val="right"/>
              <w:rPr>
                <w:rFonts w:eastAsia="Times New Roman" w:cs="Times New Roman"/>
              </w:rPr>
            </w:pPr>
            <w:r w:rsidRPr="00EF5221">
              <w:rPr>
                <w:rFonts w:eastAsia="Times New Roman" w:cs="Times New Roman"/>
              </w:rPr>
              <w:t>2013</w:t>
            </w:r>
          </w:p>
        </w:tc>
        <w:tc>
          <w:tcPr>
            <w:tcW w:w="229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8F89FAD" w14:textId="77777777" w:rsidR="006D56E4" w:rsidRPr="00EF5221" w:rsidRDefault="006D56E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F5221">
              <w:rPr>
                <w:rFonts w:eastAsia="Times New Roman" w:cs="Times New Roman"/>
              </w:rPr>
              <w:t>95.667</w:t>
            </w:r>
          </w:p>
        </w:tc>
        <w:tc>
          <w:tcPr>
            <w:tcW w:w="329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512B140" w14:textId="77777777" w:rsidR="006D56E4" w:rsidRPr="00EF5221" w:rsidRDefault="006D56E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F5221">
              <w:rPr>
                <w:rFonts w:eastAsia="Times New Roman" w:cs="Times New Roman"/>
              </w:rPr>
              <w:t>€ 1.612.562</w:t>
            </w:r>
          </w:p>
        </w:tc>
      </w:tr>
      <w:tr w:rsidR="006D56E4" w:rsidRPr="00EF5221" w14:paraId="652CAB8A" w14:textId="77777777" w:rsidTr="007B6F35">
        <w:trPr>
          <w:trHeight w:val="23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C93FE55" w14:textId="77777777" w:rsidR="006D56E4" w:rsidRPr="00EF5221" w:rsidRDefault="006D56E4">
            <w:pPr>
              <w:spacing w:line="240" w:lineRule="auto"/>
              <w:jc w:val="right"/>
              <w:rPr>
                <w:rFonts w:eastAsia="Times New Roman" w:cs="Times New Roman"/>
              </w:rPr>
            </w:pPr>
            <w:r w:rsidRPr="00EF5221">
              <w:rPr>
                <w:rFonts w:eastAsia="Times New Roman" w:cs="Times New Roman"/>
              </w:rPr>
              <w:t>2014</w:t>
            </w:r>
          </w:p>
        </w:tc>
        <w:tc>
          <w:tcPr>
            <w:tcW w:w="229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1490D71A" w14:textId="77777777" w:rsidR="006D56E4" w:rsidRPr="00EF5221" w:rsidRDefault="006D56E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F5221">
              <w:rPr>
                <w:rFonts w:eastAsia="Times New Roman" w:cs="Times New Roman"/>
              </w:rPr>
              <w:t>91.753</w:t>
            </w:r>
          </w:p>
        </w:tc>
        <w:tc>
          <w:tcPr>
            <w:tcW w:w="329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398BA38" w14:textId="77777777" w:rsidR="006D56E4" w:rsidRPr="00EF5221" w:rsidRDefault="006D56E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F5221">
              <w:rPr>
                <w:rFonts w:eastAsia="Times New Roman" w:cs="Times New Roman"/>
              </w:rPr>
              <w:t>€ 1.525.377</w:t>
            </w:r>
          </w:p>
        </w:tc>
      </w:tr>
      <w:tr w:rsidR="006D56E4" w:rsidRPr="00EF5221" w14:paraId="1DD1CAB5" w14:textId="77777777" w:rsidTr="007B6F3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DBDCBFC" w14:textId="77777777" w:rsidR="006D56E4" w:rsidRPr="00EF5221" w:rsidRDefault="006D56E4">
            <w:pPr>
              <w:spacing w:line="240" w:lineRule="auto"/>
              <w:jc w:val="right"/>
              <w:rPr>
                <w:rFonts w:eastAsia="Times New Roman" w:cs="Times New Roman"/>
              </w:rPr>
            </w:pPr>
            <w:r w:rsidRPr="00EF5221">
              <w:rPr>
                <w:rFonts w:eastAsia="Times New Roman" w:cs="Times New Roman"/>
              </w:rPr>
              <w:t>2015</w:t>
            </w:r>
          </w:p>
        </w:tc>
        <w:tc>
          <w:tcPr>
            <w:tcW w:w="229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7547703D" w14:textId="77777777" w:rsidR="006D56E4" w:rsidRPr="00EF5221" w:rsidRDefault="006D56E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F5221">
              <w:rPr>
                <w:rFonts w:eastAsia="Times New Roman" w:cs="Times New Roman"/>
              </w:rPr>
              <w:t>88.001</w:t>
            </w:r>
          </w:p>
        </w:tc>
        <w:tc>
          <w:tcPr>
            <w:tcW w:w="329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0A9D15D" w14:textId="77777777" w:rsidR="006D56E4" w:rsidRPr="00EF5221" w:rsidRDefault="006D56E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F5221">
              <w:rPr>
                <w:rFonts w:eastAsia="Times New Roman" w:cs="Times New Roman"/>
              </w:rPr>
              <w:t>€ 1.483.923</w:t>
            </w:r>
          </w:p>
        </w:tc>
      </w:tr>
      <w:tr w:rsidR="006D56E4" w:rsidRPr="00EF5221" w14:paraId="6D663E36" w14:textId="77777777" w:rsidTr="007B6F35">
        <w:trPr>
          <w:trHeight w:val="23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145A4724" w14:textId="77777777" w:rsidR="006D56E4" w:rsidRPr="00EF5221" w:rsidRDefault="006D56E4">
            <w:pPr>
              <w:spacing w:line="240" w:lineRule="auto"/>
              <w:jc w:val="right"/>
              <w:rPr>
                <w:rFonts w:eastAsia="Times New Roman" w:cs="Times New Roman"/>
              </w:rPr>
            </w:pPr>
            <w:r w:rsidRPr="00EF5221">
              <w:rPr>
                <w:rFonts w:eastAsia="Times New Roman" w:cs="Times New Roman"/>
              </w:rPr>
              <w:t>2016</w:t>
            </w:r>
          </w:p>
        </w:tc>
        <w:tc>
          <w:tcPr>
            <w:tcW w:w="229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667EB32" w14:textId="77777777" w:rsidR="006D56E4" w:rsidRPr="00EF5221" w:rsidRDefault="006D56E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F5221">
              <w:rPr>
                <w:rFonts w:eastAsia="Times New Roman" w:cs="Times New Roman"/>
              </w:rPr>
              <w:t>87.235</w:t>
            </w:r>
          </w:p>
        </w:tc>
        <w:tc>
          <w:tcPr>
            <w:tcW w:w="329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BB6C311" w14:textId="77777777" w:rsidR="006D56E4" w:rsidRPr="00EF5221" w:rsidRDefault="006D56E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F5221">
              <w:rPr>
                <w:rFonts w:eastAsia="Times New Roman" w:cs="Times New Roman"/>
              </w:rPr>
              <w:t>€ 1.498.216</w:t>
            </w:r>
          </w:p>
        </w:tc>
      </w:tr>
      <w:tr w:rsidR="006D56E4" w:rsidRPr="00EF5221" w14:paraId="5C7304A6" w14:textId="77777777" w:rsidTr="007B6F3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66D920F" w14:textId="77777777" w:rsidR="006D56E4" w:rsidRPr="00EF5221" w:rsidRDefault="006D56E4">
            <w:pPr>
              <w:spacing w:line="240" w:lineRule="auto"/>
              <w:jc w:val="right"/>
              <w:rPr>
                <w:rFonts w:eastAsia="Times New Roman" w:cs="Times New Roman"/>
              </w:rPr>
            </w:pPr>
            <w:r w:rsidRPr="00EF5221">
              <w:rPr>
                <w:rFonts w:eastAsia="Times New Roman" w:cs="Times New Roman"/>
              </w:rPr>
              <w:t>2017</w:t>
            </w:r>
          </w:p>
        </w:tc>
        <w:tc>
          <w:tcPr>
            <w:tcW w:w="229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489076A" w14:textId="77777777" w:rsidR="006D56E4" w:rsidRPr="00EF5221" w:rsidRDefault="006D56E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F5221">
              <w:rPr>
                <w:rFonts w:eastAsia="Times New Roman" w:cs="Times New Roman"/>
              </w:rPr>
              <w:t>90.396</w:t>
            </w:r>
          </w:p>
        </w:tc>
        <w:tc>
          <w:tcPr>
            <w:tcW w:w="329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7EE4FAB" w14:textId="77777777" w:rsidR="006D56E4" w:rsidRPr="00EF5221" w:rsidRDefault="006D56E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F5221">
              <w:rPr>
                <w:rFonts w:eastAsia="Times New Roman" w:cs="Times New Roman"/>
              </w:rPr>
              <w:t>€ 1.545.151</w:t>
            </w:r>
          </w:p>
        </w:tc>
      </w:tr>
      <w:tr w:rsidR="006D56E4" w:rsidRPr="00EF5221" w14:paraId="2D2E6104" w14:textId="77777777" w:rsidTr="007B6F35">
        <w:trPr>
          <w:trHeight w:val="23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4386309E" w14:textId="77777777" w:rsidR="006D56E4" w:rsidRPr="00EF5221" w:rsidRDefault="006D56E4">
            <w:pPr>
              <w:spacing w:line="240" w:lineRule="auto"/>
              <w:jc w:val="right"/>
              <w:rPr>
                <w:rFonts w:eastAsia="Times New Roman" w:cs="Times New Roman"/>
              </w:rPr>
            </w:pPr>
            <w:r w:rsidRPr="00EF5221">
              <w:rPr>
                <w:rFonts w:eastAsia="Times New Roman" w:cs="Times New Roman"/>
              </w:rPr>
              <w:t>2018</w:t>
            </w:r>
          </w:p>
        </w:tc>
        <w:tc>
          <w:tcPr>
            <w:tcW w:w="229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E03EED9" w14:textId="77777777" w:rsidR="006D56E4" w:rsidRPr="00EF5221" w:rsidRDefault="006D56E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F5221">
              <w:rPr>
                <w:rFonts w:eastAsia="Times New Roman" w:cs="Times New Roman"/>
              </w:rPr>
              <w:t>94.682</w:t>
            </w:r>
          </w:p>
        </w:tc>
        <w:tc>
          <w:tcPr>
            <w:tcW w:w="329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7EEBF51" w14:textId="77777777" w:rsidR="006D56E4" w:rsidRPr="00EF5221" w:rsidRDefault="006D56E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F5221">
              <w:rPr>
                <w:rFonts w:eastAsia="Times New Roman" w:cs="Times New Roman"/>
              </w:rPr>
              <w:t>€ 1.627.534</w:t>
            </w:r>
          </w:p>
        </w:tc>
      </w:tr>
      <w:tr w:rsidR="006D56E4" w:rsidRPr="00EF5221" w14:paraId="78B4ABE7" w14:textId="77777777" w:rsidTr="007B6F3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674CA114" w14:textId="77777777" w:rsidR="006D56E4" w:rsidRPr="00EF5221" w:rsidRDefault="006D56E4">
            <w:pPr>
              <w:spacing w:line="240" w:lineRule="auto"/>
              <w:jc w:val="right"/>
              <w:rPr>
                <w:rFonts w:eastAsia="Times New Roman" w:cs="Times New Roman"/>
                <w:color w:val="auto"/>
              </w:rPr>
            </w:pPr>
            <w:r w:rsidRPr="00EF5221">
              <w:rPr>
                <w:rFonts w:eastAsia="Times New Roman" w:cs="Times New Roman"/>
                <w:color w:val="auto"/>
              </w:rPr>
              <w:t>2019</w:t>
            </w:r>
          </w:p>
        </w:tc>
        <w:tc>
          <w:tcPr>
            <w:tcW w:w="229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01CC792D" w14:textId="77777777" w:rsidR="006D56E4" w:rsidRPr="00EF5221" w:rsidRDefault="006D56E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F5221">
              <w:rPr>
                <w:rFonts w:eastAsia="Times New Roman" w:cs="Times New Roman"/>
                <w:color w:val="auto"/>
              </w:rPr>
              <w:t>98.368</w:t>
            </w:r>
          </w:p>
        </w:tc>
        <w:tc>
          <w:tcPr>
            <w:tcW w:w="329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C515EF5" w14:textId="77777777" w:rsidR="006D56E4" w:rsidRPr="00EF5221" w:rsidRDefault="006D56E4">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EF5221">
              <w:rPr>
                <w:rFonts w:eastAsia="Times New Roman" w:cs="Times New Roman"/>
                <w:color w:val="auto"/>
              </w:rPr>
              <w:t>€ 1.725.947</w:t>
            </w:r>
          </w:p>
        </w:tc>
      </w:tr>
    </w:tbl>
    <w:p w14:paraId="4BB03878" w14:textId="77777777" w:rsidR="00000B4C" w:rsidRPr="00EF5221" w:rsidRDefault="00000B4C" w:rsidP="006D56E4">
      <w:pPr>
        <w:spacing w:line="276" w:lineRule="auto"/>
        <w:rPr>
          <w:b/>
          <w:u w:val="single"/>
        </w:rPr>
      </w:pPr>
    </w:p>
    <w:p w14:paraId="4927A8CD" w14:textId="1BF2C65A" w:rsidR="006D56E4" w:rsidRPr="00EF5221" w:rsidRDefault="006D56E4" w:rsidP="006D56E4">
      <w:pPr>
        <w:spacing w:line="276" w:lineRule="auto"/>
        <w:rPr>
          <w:b/>
          <w:u w:val="single"/>
        </w:rPr>
      </w:pPr>
      <w:r w:rsidRPr="00EF5221">
        <w:rPr>
          <w:b/>
          <w:u w:val="single"/>
        </w:rPr>
        <w:t>2.</w:t>
      </w:r>
      <w:r w:rsidR="009C7BB5" w:rsidRPr="00EF5221">
        <w:rPr>
          <w:b/>
          <w:u w:val="single"/>
        </w:rPr>
        <w:t>3</w:t>
      </w:r>
      <w:r w:rsidRPr="00EF5221">
        <w:rPr>
          <w:b/>
          <w:u w:val="single"/>
        </w:rPr>
        <w:t xml:space="preserve"> Analyse stijging instroom ZW</w:t>
      </w:r>
    </w:p>
    <w:p w14:paraId="16134544" w14:textId="543F59FD" w:rsidR="006D56E4" w:rsidRPr="00EF5221" w:rsidRDefault="009C7BB5" w:rsidP="00223337">
      <w:pPr>
        <w:pStyle w:val="WitregelW1bodytekst"/>
        <w:spacing w:line="276" w:lineRule="auto"/>
      </w:pPr>
      <w:r w:rsidRPr="00EF5221">
        <w:t>D</w:t>
      </w:r>
      <w:r w:rsidR="006D56E4" w:rsidRPr="00EF5221">
        <w:t xml:space="preserve">e analyse </w:t>
      </w:r>
      <w:r w:rsidRPr="00EF5221">
        <w:t>heeft zes</w:t>
      </w:r>
      <w:r w:rsidR="006D56E4" w:rsidRPr="00EF5221">
        <w:t xml:space="preserve"> factoren </w:t>
      </w:r>
      <w:r w:rsidRPr="00EF5221">
        <w:t xml:space="preserve">aan het licht gebracht </w:t>
      </w:r>
      <w:r w:rsidR="006D56E4" w:rsidRPr="00EF5221">
        <w:t xml:space="preserve">die hebben bijgedragen aan een toename van het beroep op de ZW. </w:t>
      </w:r>
      <w:r w:rsidR="00BA43D3" w:rsidRPr="00EF5221">
        <w:t>Hieronder ga ik op deze factoren in</w:t>
      </w:r>
      <w:r w:rsidR="006D56E4" w:rsidRPr="00EF5221">
        <w:t xml:space="preserve">. </w:t>
      </w:r>
    </w:p>
    <w:p w14:paraId="7C550237" w14:textId="77777777" w:rsidR="006D56E4" w:rsidRPr="00EF5221" w:rsidRDefault="006D56E4" w:rsidP="006D56E4">
      <w:pPr>
        <w:spacing w:line="276" w:lineRule="auto"/>
      </w:pPr>
    </w:p>
    <w:p w14:paraId="6442E0E1" w14:textId="6853E0A8" w:rsidR="006D56E4" w:rsidRPr="00EF5221" w:rsidRDefault="006D56E4" w:rsidP="006D56E4">
      <w:pPr>
        <w:spacing w:line="276" w:lineRule="auto"/>
        <w:rPr>
          <w:u w:val="single"/>
        </w:rPr>
      </w:pPr>
      <w:r w:rsidRPr="00EF5221">
        <w:rPr>
          <w:u w:val="single"/>
        </w:rPr>
        <w:t>2.</w:t>
      </w:r>
      <w:r w:rsidR="009C7BB5" w:rsidRPr="00EF5221">
        <w:rPr>
          <w:u w:val="single"/>
        </w:rPr>
        <w:t>3</w:t>
      </w:r>
      <w:r w:rsidRPr="00EF5221">
        <w:rPr>
          <w:u w:val="single"/>
        </w:rPr>
        <w:t>.1 Ontwikkelingen op de arbeidsmarkt</w:t>
      </w:r>
    </w:p>
    <w:p w14:paraId="61B54764" w14:textId="77777777" w:rsidR="00B64863" w:rsidRPr="00EF5221" w:rsidRDefault="00B64863" w:rsidP="00B64863">
      <w:pPr>
        <w:spacing w:line="276" w:lineRule="auto"/>
      </w:pPr>
      <w:r w:rsidRPr="00EF5221">
        <w:t>Een van de oorzaken dat de publieke ZW-lasten stijgen zijn de ontwikkelingen op de arbeidsmarkt. Het aantal werkende personen is in de periode van 2013 tot en met 2019 met 12,6% gestegen. Daarnaast hebben meer mensen een contract voor bepaalde tijd. Het aandeel banen met een contract voor bepaalde tijd steeg in de periode 2013 tot en met 2019 met 6,5%-punt. Werknemers hebben gedurende de looptijd van hun arbeidsovereenkomst recht op loondoorbetaling bij ziekte. Als zij na beëindiging van de arbeidsovereenkomst nog steeds ziek zijn stromen zij door naar de ZW.</w:t>
      </w:r>
      <w:r w:rsidRPr="00EF5221">
        <w:rPr>
          <w:rStyle w:val="Voetnootmarkering"/>
        </w:rPr>
        <w:footnoteReference w:id="15"/>
      </w:r>
      <w:r w:rsidRPr="00EF5221">
        <w:t xml:space="preserve"> Deze twee arbeidsmarktontwikkelingen vergroten het aantal mensen dat potentieel een beroep kan doen op de ZW. </w:t>
      </w:r>
    </w:p>
    <w:p w14:paraId="64E1C865" w14:textId="77777777" w:rsidR="006D56E4" w:rsidRPr="00EF5221" w:rsidRDefault="006D56E4" w:rsidP="006D56E4">
      <w:pPr>
        <w:spacing w:line="276" w:lineRule="auto"/>
      </w:pPr>
    </w:p>
    <w:p w14:paraId="44D1A534" w14:textId="109D3E18" w:rsidR="006D56E4" w:rsidRPr="00EF5221" w:rsidRDefault="006D56E4" w:rsidP="006D56E4">
      <w:pPr>
        <w:spacing w:line="276" w:lineRule="auto"/>
        <w:rPr>
          <w:u w:val="single"/>
        </w:rPr>
      </w:pPr>
      <w:r w:rsidRPr="00EF5221">
        <w:rPr>
          <w:u w:val="single"/>
        </w:rPr>
        <w:t>2.</w:t>
      </w:r>
      <w:r w:rsidR="00D1188F" w:rsidRPr="00EF5221">
        <w:rPr>
          <w:u w:val="single"/>
        </w:rPr>
        <w:t>3</w:t>
      </w:r>
      <w:r w:rsidRPr="00EF5221">
        <w:rPr>
          <w:u w:val="single"/>
        </w:rPr>
        <w:t>.2 Uitbreiding van de no-riskpolis</w:t>
      </w:r>
    </w:p>
    <w:p w14:paraId="39BBA5EA" w14:textId="7D524267" w:rsidR="006D56E4" w:rsidRPr="00EF5221" w:rsidRDefault="006D56E4" w:rsidP="006D56E4">
      <w:pPr>
        <w:pStyle w:val="Geenafstand"/>
        <w:spacing w:line="276" w:lineRule="auto"/>
        <w:rPr>
          <w:szCs w:val="18"/>
          <w:lang w:val="nl-NL"/>
        </w:rPr>
      </w:pPr>
      <w:r w:rsidRPr="00EF5221">
        <w:rPr>
          <w:szCs w:val="18"/>
          <w:lang w:val="nl-NL"/>
        </w:rPr>
        <w:t xml:space="preserve">De kring van verzekerden </w:t>
      </w:r>
      <w:r w:rsidR="00D1188F" w:rsidRPr="00EF5221">
        <w:rPr>
          <w:szCs w:val="18"/>
          <w:lang w:val="nl-NL"/>
        </w:rPr>
        <w:t xml:space="preserve">voor de </w:t>
      </w:r>
      <w:r w:rsidRPr="00EF5221">
        <w:rPr>
          <w:szCs w:val="18"/>
          <w:lang w:val="nl-NL"/>
        </w:rPr>
        <w:t>ZW nam ook toe door de uitbreiding van de no-riskpolis</w:t>
      </w:r>
      <w:r w:rsidR="00D1188F" w:rsidRPr="00EF5221">
        <w:rPr>
          <w:szCs w:val="18"/>
          <w:lang w:val="nl-NL"/>
        </w:rPr>
        <w:t xml:space="preserve"> in 2016</w:t>
      </w:r>
      <w:r w:rsidRPr="00EF5221">
        <w:rPr>
          <w:szCs w:val="18"/>
          <w:lang w:val="nl-NL"/>
        </w:rPr>
        <w:t xml:space="preserve">. </w:t>
      </w:r>
      <w:r w:rsidR="00D1188F" w:rsidRPr="00EF5221">
        <w:rPr>
          <w:szCs w:val="18"/>
          <w:lang w:val="nl-NL"/>
        </w:rPr>
        <w:t>De</w:t>
      </w:r>
      <w:r w:rsidRPr="00EF5221">
        <w:rPr>
          <w:szCs w:val="18"/>
          <w:lang w:val="nl-NL"/>
        </w:rPr>
        <w:t xml:space="preserve"> doelgroep </w:t>
      </w:r>
      <w:r w:rsidR="00C72715" w:rsidRPr="00EF5221">
        <w:rPr>
          <w:szCs w:val="18"/>
          <w:lang w:val="nl-NL"/>
        </w:rPr>
        <w:t xml:space="preserve">die in aanmerking komt </w:t>
      </w:r>
      <w:r w:rsidR="00D1188F" w:rsidRPr="00EF5221">
        <w:rPr>
          <w:szCs w:val="18"/>
          <w:lang w:val="nl-NL"/>
        </w:rPr>
        <w:t xml:space="preserve">voor </w:t>
      </w:r>
      <w:r w:rsidRPr="00EF5221">
        <w:rPr>
          <w:szCs w:val="18"/>
          <w:lang w:val="nl-NL"/>
        </w:rPr>
        <w:t xml:space="preserve">de no-riskpolis </w:t>
      </w:r>
      <w:r w:rsidR="00D1188F" w:rsidRPr="00EF5221">
        <w:rPr>
          <w:szCs w:val="18"/>
          <w:lang w:val="nl-NL"/>
        </w:rPr>
        <w:t xml:space="preserve">is toen </w:t>
      </w:r>
      <w:r w:rsidRPr="00EF5221">
        <w:rPr>
          <w:szCs w:val="18"/>
          <w:lang w:val="nl-NL"/>
        </w:rPr>
        <w:t xml:space="preserve">uitgebreid met de gemeentelijke doelgroep banenafspraak/nieuw beschut </w:t>
      </w:r>
      <w:r w:rsidRPr="00EF5221">
        <w:rPr>
          <w:szCs w:val="18"/>
          <w:lang w:val="nl-NL"/>
        </w:rPr>
        <w:lastRenderedPageBreak/>
        <w:t>werk</w:t>
      </w:r>
      <w:r w:rsidR="00C72715" w:rsidRPr="00EF5221">
        <w:rPr>
          <w:szCs w:val="18"/>
          <w:lang w:val="nl-NL"/>
        </w:rPr>
        <w:t>.</w:t>
      </w:r>
      <w:r w:rsidR="00C72715" w:rsidRPr="00EF5221">
        <w:rPr>
          <w:rStyle w:val="Voetnootmarkering"/>
          <w:szCs w:val="18"/>
          <w:lang w:val="nl-NL"/>
        </w:rPr>
        <w:footnoteReference w:id="16"/>
      </w:r>
      <w:r w:rsidR="00C72715" w:rsidRPr="00EF5221">
        <w:rPr>
          <w:szCs w:val="18"/>
          <w:lang w:val="nl-NL"/>
        </w:rPr>
        <w:t xml:space="preserve"> </w:t>
      </w:r>
      <w:r w:rsidR="002779CF" w:rsidRPr="00EF5221">
        <w:rPr>
          <w:szCs w:val="18"/>
          <w:lang w:val="nl-NL"/>
        </w:rPr>
        <w:t>D</w:t>
      </w:r>
      <w:r w:rsidRPr="00EF5221">
        <w:rPr>
          <w:szCs w:val="18"/>
          <w:lang w:val="nl-NL"/>
        </w:rPr>
        <w:t xml:space="preserve">e uitbreiding van de kring van verzekerden van de vangnetgroep no-riskpolis </w:t>
      </w:r>
      <w:r w:rsidR="002779CF" w:rsidRPr="00EF5221">
        <w:rPr>
          <w:szCs w:val="18"/>
          <w:lang w:val="nl-NL"/>
        </w:rPr>
        <w:t xml:space="preserve">verklaart grotendeels de stijgende </w:t>
      </w:r>
      <w:r w:rsidRPr="00EF5221">
        <w:rPr>
          <w:szCs w:val="18"/>
          <w:lang w:val="nl-NL"/>
        </w:rPr>
        <w:t xml:space="preserve">de instroom </w:t>
      </w:r>
      <w:r w:rsidR="002779CF" w:rsidRPr="00EF5221">
        <w:rPr>
          <w:szCs w:val="18"/>
          <w:lang w:val="nl-NL"/>
        </w:rPr>
        <w:t xml:space="preserve">(146%) </w:t>
      </w:r>
      <w:r w:rsidRPr="00EF5221">
        <w:rPr>
          <w:szCs w:val="18"/>
          <w:lang w:val="nl-NL"/>
        </w:rPr>
        <w:t xml:space="preserve">van deze vangnetgroep </w:t>
      </w:r>
      <w:r w:rsidR="00C72715" w:rsidRPr="00EF5221">
        <w:rPr>
          <w:szCs w:val="18"/>
          <w:lang w:val="nl-NL"/>
        </w:rPr>
        <w:t xml:space="preserve">in de periode van </w:t>
      </w:r>
      <w:r w:rsidRPr="00EF5221">
        <w:rPr>
          <w:szCs w:val="18"/>
          <w:lang w:val="nl-NL"/>
        </w:rPr>
        <w:t>2013</w:t>
      </w:r>
      <w:r w:rsidR="00C72715" w:rsidRPr="00EF5221">
        <w:rPr>
          <w:szCs w:val="18"/>
          <w:lang w:val="nl-NL"/>
        </w:rPr>
        <w:t xml:space="preserve"> tot en met </w:t>
      </w:r>
      <w:r w:rsidRPr="00EF5221">
        <w:rPr>
          <w:szCs w:val="18"/>
          <w:lang w:val="nl-NL"/>
        </w:rPr>
        <w:t xml:space="preserve">2019. </w:t>
      </w:r>
    </w:p>
    <w:p w14:paraId="2C719777" w14:textId="77777777" w:rsidR="00D56771" w:rsidRPr="00EF5221" w:rsidRDefault="00D56771" w:rsidP="006D56E4">
      <w:pPr>
        <w:pStyle w:val="Geenafstand"/>
        <w:spacing w:line="276" w:lineRule="auto"/>
        <w:rPr>
          <w:szCs w:val="18"/>
          <w:lang w:val="nl-NL"/>
        </w:rPr>
      </w:pPr>
    </w:p>
    <w:p w14:paraId="10968416" w14:textId="2D96E58B" w:rsidR="006D56E4" w:rsidRPr="00EF5221" w:rsidRDefault="006D56E4" w:rsidP="006D56E4">
      <w:pPr>
        <w:spacing w:line="276" w:lineRule="auto"/>
        <w:rPr>
          <w:u w:val="single"/>
        </w:rPr>
      </w:pPr>
      <w:r w:rsidRPr="00EF5221">
        <w:rPr>
          <w:u w:val="single"/>
        </w:rPr>
        <w:t>2.</w:t>
      </w:r>
      <w:r w:rsidR="00D1188F" w:rsidRPr="00EF5221">
        <w:rPr>
          <w:u w:val="single"/>
        </w:rPr>
        <w:t>3</w:t>
      </w:r>
      <w:r w:rsidRPr="00EF5221">
        <w:rPr>
          <w:u w:val="single"/>
        </w:rPr>
        <w:t>.3 Ontwikkelingen hybride markt</w:t>
      </w:r>
    </w:p>
    <w:p w14:paraId="7955EC1F" w14:textId="195385EE" w:rsidR="006D56E4" w:rsidRPr="00EF5221" w:rsidRDefault="006D56E4" w:rsidP="006D56E4">
      <w:pPr>
        <w:pStyle w:val="Geenafstand"/>
        <w:spacing w:line="276" w:lineRule="auto"/>
        <w:rPr>
          <w:szCs w:val="18"/>
          <w:lang w:val="nl-NL"/>
        </w:rPr>
      </w:pPr>
      <w:r w:rsidRPr="00EF5221">
        <w:rPr>
          <w:szCs w:val="18"/>
          <w:lang w:val="nl-NL"/>
        </w:rPr>
        <w:t xml:space="preserve">Voor de vangnetgroepen uitzendkrachten en </w:t>
      </w:r>
      <w:proofErr w:type="spellStart"/>
      <w:r w:rsidRPr="00EF5221">
        <w:rPr>
          <w:szCs w:val="18"/>
          <w:lang w:val="nl-NL"/>
        </w:rPr>
        <w:t>eindedienstverbanders</w:t>
      </w:r>
      <w:proofErr w:type="spellEnd"/>
      <w:r w:rsidRPr="00EF5221">
        <w:rPr>
          <w:szCs w:val="18"/>
          <w:lang w:val="nl-NL"/>
        </w:rPr>
        <w:t xml:space="preserve"> kunnen werkgevers </w:t>
      </w:r>
      <w:r w:rsidR="003674AC" w:rsidRPr="00EF5221">
        <w:rPr>
          <w:szCs w:val="18"/>
          <w:lang w:val="nl-NL"/>
        </w:rPr>
        <w:t xml:space="preserve">eigenrisicodrager worden. </w:t>
      </w:r>
      <w:r w:rsidR="008E3CB8" w:rsidRPr="00EF5221">
        <w:rPr>
          <w:szCs w:val="18"/>
          <w:lang w:val="nl-NL"/>
        </w:rPr>
        <w:t>Voor de ZW-</w:t>
      </w:r>
      <w:proofErr w:type="spellStart"/>
      <w:r w:rsidR="008E3CB8" w:rsidRPr="00EF5221">
        <w:rPr>
          <w:szCs w:val="18"/>
          <w:lang w:val="nl-NL"/>
        </w:rPr>
        <w:t>flex</w:t>
      </w:r>
      <w:proofErr w:type="spellEnd"/>
      <w:r w:rsidR="008E3CB8" w:rsidRPr="00EF5221">
        <w:rPr>
          <w:szCs w:val="18"/>
          <w:lang w:val="nl-NL"/>
        </w:rPr>
        <w:t xml:space="preserve"> is 4% van alle werkgevers eigenrisicodrager. Doordat vooral grote werkgevers eigenrisicodrager zijn, is het aandeel qua loonsom groter en neemt toe in de </w:t>
      </w:r>
      <w:r w:rsidRPr="00EF5221">
        <w:rPr>
          <w:szCs w:val="18"/>
          <w:lang w:val="nl-NL"/>
        </w:rPr>
        <w:t>periode 2013-2019 van 5,1%</w:t>
      </w:r>
      <w:r w:rsidR="003674AC" w:rsidRPr="00EF5221">
        <w:rPr>
          <w:szCs w:val="18"/>
          <w:lang w:val="nl-NL"/>
        </w:rPr>
        <w:t xml:space="preserve"> in 2013</w:t>
      </w:r>
      <w:r w:rsidRPr="00EF5221">
        <w:rPr>
          <w:szCs w:val="18"/>
          <w:lang w:val="nl-NL"/>
        </w:rPr>
        <w:t xml:space="preserve"> naar 44,1% in 2019. </w:t>
      </w:r>
    </w:p>
    <w:p w14:paraId="705060F0" w14:textId="77777777" w:rsidR="006D56E4" w:rsidRPr="00EF5221" w:rsidRDefault="006D56E4" w:rsidP="006D56E4">
      <w:pPr>
        <w:pStyle w:val="Geenafstand"/>
        <w:spacing w:line="276" w:lineRule="auto"/>
        <w:rPr>
          <w:szCs w:val="18"/>
          <w:lang w:val="nl-NL"/>
        </w:rPr>
      </w:pPr>
    </w:p>
    <w:p w14:paraId="56A3C4CE" w14:textId="5CC14A8C" w:rsidR="006D56E4" w:rsidRPr="00EF5221" w:rsidRDefault="006D56E4" w:rsidP="006D56E4">
      <w:pPr>
        <w:pStyle w:val="Geenafstand"/>
        <w:spacing w:line="276" w:lineRule="auto"/>
        <w:rPr>
          <w:rFonts w:cs="Calibri"/>
          <w:szCs w:val="18"/>
          <w:lang w:val="nl-NL"/>
        </w:rPr>
      </w:pPr>
      <w:r w:rsidRPr="00EF5221">
        <w:rPr>
          <w:rFonts w:cs="Calibri"/>
          <w:szCs w:val="18"/>
          <w:lang w:val="nl-NL"/>
        </w:rPr>
        <w:t xml:space="preserve">De verschuiving van </w:t>
      </w:r>
      <w:r w:rsidR="00850F77" w:rsidRPr="00EF5221">
        <w:rPr>
          <w:rFonts w:cs="Calibri"/>
          <w:szCs w:val="18"/>
          <w:lang w:val="nl-NL"/>
        </w:rPr>
        <w:t xml:space="preserve">een </w:t>
      </w:r>
      <w:r w:rsidRPr="00EF5221">
        <w:rPr>
          <w:rFonts w:cs="Calibri"/>
          <w:szCs w:val="18"/>
          <w:lang w:val="nl-NL"/>
        </w:rPr>
        <w:t xml:space="preserve">publieke verzekering naar het </w:t>
      </w:r>
      <w:proofErr w:type="spellStart"/>
      <w:r w:rsidRPr="00EF5221">
        <w:rPr>
          <w:rFonts w:cs="Calibri"/>
          <w:szCs w:val="18"/>
          <w:lang w:val="nl-NL"/>
        </w:rPr>
        <w:t>eigenrisicodragerschap</w:t>
      </w:r>
      <w:proofErr w:type="spellEnd"/>
      <w:r w:rsidRPr="00EF5221">
        <w:rPr>
          <w:rFonts w:cs="Calibri"/>
          <w:szCs w:val="18"/>
          <w:lang w:val="nl-NL"/>
        </w:rPr>
        <w:t xml:space="preserve"> of </w:t>
      </w:r>
      <w:proofErr w:type="spellStart"/>
      <w:r w:rsidRPr="00EF5221">
        <w:rPr>
          <w:rFonts w:cs="Calibri"/>
          <w:szCs w:val="18"/>
          <w:lang w:val="nl-NL"/>
        </w:rPr>
        <w:t>vice</w:t>
      </w:r>
      <w:proofErr w:type="spellEnd"/>
      <w:r w:rsidRPr="00EF5221">
        <w:rPr>
          <w:rFonts w:cs="Calibri"/>
          <w:szCs w:val="18"/>
          <w:lang w:val="nl-NL"/>
        </w:rPr>
        <w:t xml:space="preserve"> versa hoeft geen evenredige verschuiving van het risico (en daaruit vloeiende ZW-lasten)</w:t>
      </w:r>
      <w:r w:rsidR="00850F77" w:rsidRPr="00EF5221">
        <w:rPr>
          <w:rFonts w:cs="Calibri"/>
          <w:szCs w:val="18"/>
          <w:lang w:val="nl-NL"/>
        </w:rPr>
        <w:t xml:space="preserve"> te betekenen</w:t>
      </w:r>
      <w:r w:rsidRPr="00EF5221">
        <w:rPr>
          <w:rFonts w:cs="Calibri"/>
          <w:szCs w:val="18"/>
          <w:lang w:val="nl-NL"/>
        </w:rPr>
        <w:t>. Werkgevers verschillen onderling qua risicoprofiel, bijvoorbeeld door de sector waarin ze opereren en de kenmerken van hun personeelsbestand. Zo hebben werkgevers in de uitzendsector in het algem</w:t>
      </w:r>
      <w:r w:rsidR="008E3CB8" w:rsidRPr="00EF5221">
        <w:rPr>
          <w:rFonts w:cs="Calibri"/>
          <w:szCs w:val="18"/>
          <w:lang w:val="nl-NL"/>
        </w:rPr>
        <w:t>e</w:t>
      </w:r>
      <w:r w:rsidRPr="00EF5221">
        <w:rPr>
          <w:rFonts w:cs="Calibri"/>
          <w:szCs w:val="18"/>
          <w:lang w:val="nl-NL"/>
        </w:rPr>
        <w:t xml:space="preserve">en een hoger ZW-risico dan werkgevers in andere sectoren, omdat de uitzendsector </w:t>
      </w:r>
      <w:r w:rsidR="003674AC" w:rsidRPr="00EF5221">
        <w:rPr>
          <w:rFonts w:cs="Calibri"/>
          <w:szCs w:val="18"/>
          <w:lang w:val="nl-NL"/>
        </w:rPr>
        <w:t xml:space="preserve">in verhouding </w:t>
      </w:r>
      <w:r w:rsidRPr="00EF5221">
        <w:rPr>
          <w:rFonts w:cs="Calibri"/>
          <w:szCs w:val="18"/>
          <w:lang w:val="nl-NL"/>
        </w:rPr>
        <w:t>meer tijdelijke contracten verstrekt aan hun personeel</w:t>
      </w:r>
      <w:r w:rsidR="003674AC" w:rsidRPr="00EF5221">
        <w:rPr>
          <w:rFonts w:cs="Calibri"/>
          <w:szCs w:val="18"/>
          <w:lang w:val="nl-NL"/>
        </w:rPr>
        <w:t xml:space="preserve"> dan vaste contracten</w:t>
      </w:r>
      <w:r w:rsidRPr="00EF5221">
        <w:rPr>
          <w:rFonts w:cs="Calibri"/>
          <w:szCs w:val="18"/>
          <w:lang w:val="nl-NL"/>
        </w:rPr>
        <w:t xml:space="preserve">. </w:t>
      </w:r>
    </w:p>
    <w:p w14:paraId="63C20925" w14:textId="02DF2511" w:rsidR="006D56E4" w:rsidRPr="00EF5221" w:rsidRDefault="006D56E4" w:rsidP="006D56E4">
      <w:pPr>
        <w:pStyle w:val="Geenafstand"/>
        <w:spacing w:line="276" w:lineRule="auto"/>
        <w:rPr>
          <w:rFonts w:cs="Calibri"/>
          <w:szCs w:val="18"/>
          <w:lang w:val="nl-NL"/>
        </w:rPr>
      </w:pPr>
    </w:p>
    <w:p w14:paraId="25E5C961" w14:textId="3445CBEF" w:rsidR="006D56E4" w:rsidRPr="00EF5221" w:rsidRDefault="008E3CB8" w:rsidP="006D56E4">
      <w:pPr>
        <w:pStyle w:val="Geenafstand"/>
        <w:spacing w:line="276" w:lineRule="auto"/>
        <w:rPr>
          <w:szCs w:val="18"/>
          <w:lang w:val="nl-NL"/>
        </w:rPr>
      </w:pPr>
      <w:r w:rsidRPr="00EF5221">
        <w:rPr>
          <w:rFonts w:cs="Calibri"/>
          <w:lang w:val="nl-NL"/>
        </w:rPr>
        <w:t>Het is daarom nodig om een onderscheid te maken tussen de uitzendsector en overige sectoren.</w:t>
      </w:r>
      <w:r w:rsidRPr="00EF5221">
        <w:rPr>
          <w:rFonts w:cs="Calibri"/>
          <w:szCs w:val="18"/>
          <w:lang w:val="nl-NL"/>
        </w:rPr>
        <w:t xml:space="preserve"> </w:t>
      </w:r>
      <w:r w:rsidR="006D56E4" w:rsidRPr="00EF5221">
        <w:rPr>
          <w:rFonts w:cs="Calibri"/>
          <w:szCs w:val="18"/>
          <w:lang w:val="nl-NL"/>
        </w:rPr>
        <w:t xml:space="preserve">In de periode </w:t>
      </w:r>
      <w:r w:rsidR="00C72715" w:rsidRPr="00EF5221">
        <w:rPr>
          <w:rFonts w:cs="Calibri"/>
          <w:szCs w:val="18"/>
          <w:lang w:val="nl-NL"/>
        </w:rPr>
        <w:t xml:space="preserve">van </w:t>
      </w:r>
      <w:r w:rsidR="006D56E4" w:rsidRPr="00EF5221">
        <w:rPr>
          <w:rFonts w:cs="Calibri"/>
          <w:szCs w:val="18"/>
          <w:lang w:val="nl-NL"/>
        </w:rPr>
        <w:t>201</w:t>
      </w:r>
      <w:r w:rsidR="0096561E" w:rsidRPr="00EF5221">
        <w:rPr>
          <w:rFonts w:cs="Calibri"/>
          <w:szCs w:val="18"/>
          <w:lang w:val="nl-NL"/>
        </w:rPr>
        <w:t>3</w:t>
      </w:r>
      <w:r w:rsidR="00C72715" w:rsidRPr="00EF5221">
        <w:rPr>
          <w:rFonts w:cs="Calibri"/>
          <w:szCs w:val="18"/>
          <w:lang w:val="nl-NL"/>
        </w:rPr>
        <w:t xml:space="preserve"> tot en met </w:t>
      </w:r>
      <w:r w:rsidR="006D56E4" w:rsidRPr="00EF5221">
        <w:rPr>
          <w:rFonts w:cs="Calibri"/>
          <w:szCs w:val="18"/>
          <w:lang w:val="nl-NL"/>
        </w:rPr>
        <w:t xml:space="preserve">2019 nam het aandeel eigenrisicodragers qua loonsom voor de uitzendsector juist af </w:t>
      </w:r>
      <w:r w:rsidR="0096561E" w:rsidRPr="00EF5221">
        <w:rPr>
          <w:rFonts w:cs="Calibri"/>
          <w:szCs w:val="18"/>
          <w:lang w:val="nl-NL"/>
        </w:rPr>
        <w:t xml:space="preserve">van 60,4% in 2013 </w:t>
      </w:r>
      <w:r w:rsidR="006D56E4" w:rsidRPr="00EF5221">
        <w:rPr>
          <w:rFonts w:cs="Calibri"/>
          <w:szCs w:val="18"/>
          <w:lang w:val="nl-NL"/>
        </w:rPr>
        <w:t>naar 48,2% in 2019. Uitzendbureaus keren terug</w:t>
      </w:r>
      <w:r w:rsidR="003674AC" w:rsidRPr="00EF5221">
        <w:rPr>
          <w:rFonts w:cs="Calibri"/>
          <w:szCs w:val="18"/>
          <w:lang w:val="nl-NL"/>
        </w:rPr>
        <w:t xml:space="preserve"> naar een publieke verzekering</w:t>
      </w:r>
      <w:r w:rsidR="006D56E4" w:rsidRPr="00EF5221">
        <w:rPr>
          <w:rFonts w:cs="Calibri"/>
          <w:szCs w:val="18"/>
          <w:lang w:val="nl-NL"/>
        </w:rPr>
        <w:t xml:space="preserve"> bij het UWV. </w:t>
      </w:r>
      <w:r w:rsidR="006D56E4" w:rsidRPr="00EF5221">
        <w:rPr>
          <w:szCs w:val="18"/>
          <w:lang w:val="nl-NL"/>
        </w:rPr>
        <w:t>Tot 1 januari 2020 bestond de mogelijkheid voor uitzendwerkgever om zich in een andere sector dan de uitzendsec</w:t>
      </w:r>
      <w:r w:rsidR="003674AC" w:rsidRPr="00EF5221">
        <w:rPr>
          <w:szCs w:val="18"/>
          <w:lang w:val="nl-NL"/>
        </w:rPr>
        <w:t xml:space="preserve">tor – ook wel </w:t>
      </w:r>
      <w:proofErr w:type="spellStart"/>
      <w:r w:rsidR="003674AC" w:rsidRPr="00EF5221">
        <w:rPr>
          <w:szCs w:val="18"/>
          <w:lang w:val="nl-NL"/>
        </w:rPr>
        <w:t>vaksector</w:t>
      </w:r>
      <w:proofErr w:type="spellEnd"/>
      <w:r w:rsidR="003674AC" w:rsidRPr="00EF5221">
        <w:rPr>
          <w:szCs w:val="18"/>
          <w:lang w:val="nl-NL"/>
        </w:rPr>
        <w:t xml:space="preserve"> genoemd – </w:t>
      </w:r>
      <w:r w:rsidR="006D56E4" w:rsidRPr="00EF5221">
        <w:rPr>
          <w:szCs w:val="18"/>
          <w:lang w:val="nl-NL"/>
        </w:rPr>
        <w:t>te registeren.</w:t>
      </w:r>
      <w:r w:rsidR="006D56E4" w:rsidRPr="00EF5221">
        <w:rPr>
          <w:rStyle w:val="Voetnootmarkering"/>
          <w:szCs w:val="18"/>
          <w:lang w:val="nl-NL"/>
        </w:rPr>
        <w:footnoteReference w:id="17"/>
      </w:r>
      <w:r w:rsidR="00B66992" w:rsidRPr="00EF5221">
        <w:rPr>
          <w:szCs w:val="18"/>
          <w:lang w:val="nl-NL"/>
        </w:rPr>
        <w:t xml:space="preserve"> Per 1 januari 2020 zijn alle uitzendwerkgevers weer ingedeeld in de uitzendsector.</w:t>
      </w:r>
      <w:r w:rsidR="006D56E4" w:rsidRPr="00EF5221">
        <w:rPr>
          <w:szCs w:val="18"/>
          <w:lang w:val="nl-NL"/>
        </w:rPr>
        <w:t xml:space="preserve"> Voor uitzendbureaus had een indeling in de </w:t>
      </w:r>
      <w:proofErr w:type="spellStart"/>
      <w:r w:rsidR="006D56E4" w:rsidRPr="00EF5221">
        <w:rPr>
          <w:szCs w:val="18"/>
          <w:lang w:val="nl-NL"/>
        </w:rPr>
        <w:t>vaksector</w:t>
      </w:r>
      <w:proofErr w:type="spellEnd"/>
      <w:r w:rsidR="006D56E4" w:rsidRPr="00EF5221">
        <w:rPr>
          <w:szCs w:val="18"/>
          <w:lang w:val="nl-NL"/>
        </w:rPr>
        <w:t xml:space="preserve"> in het publieke bestel financieel voordeel. De </w:t>
      </w:r>
      <w:proofErr w:type="spellStart"/>
      <w:r w:rsidR="006D56E4" w:rsidRPr="00EF5221">
        <w:rPr>
          <w:szCs w:val="18"/>
          <w:lang w:val="nl-NL"/>
        </w:rPr>
        <w:t>vaksectoren</w:t>
      </w:r>
      <w:proofErr w:type="spellEnd"/>
      <w:r w:rsidR="006D56E4" w:rsidRPr="00EF5221">
        <w:rPr>
          <w:szCs w:val="18"/>
          <w:lang w:val="nl-NL"/>
        </w:rPr>
        <w:t xml:space="preserve"> kennen een lagere maximumpremie ZW dan de uitzendsector.</w:t>
      </w:r>
    </w:p>
    <w:p w14:paraId="7B6B4828" w14:textId="77777777" w:rsidR="006D56E4" w:rsidRPr="00EF5221" w:rsidRDefault="006D56E4" w:rsidP="006D56E4">
      <w:pPr>
        <w:pStyle w:val="Geenafstand"/>
        <w:spacing w:line="276" w:lineRule="auto"/>
        <w:rPr>
          <w:szCs w:val="18"/>
          <w:lang w:val="nl-NL"/>
        </w:rPr>
      </w:pPr>
    </w:p>
    <w:p w14:paraId="64146D9C" w14:textId="23031282" w:rsidR="006D56E4" w:rsidRPr="00EF5221" w:rsidRDefault="006D56E4" w:rsidP="006D56E4">
      <w:pPr>
        <w:pStyle w:val="Normaalweb"/>
        <w:keepNext/>
        <w:spacing w:before="0" w:beforeAutospacing="0" w:after="0" w:afterAutospacing="0" w:line="276" w:lineRule="auto"/>
      </w:pPr>
      <w:r w:rsidRPr="00EF5221">
        <w:rPr>
          <w:noProof/>
        </w:rPr>
        <w:lastRenderedPageBreak/>
        <w:drawing>
          <wp:inline distT="0" distB="0" distL="0" distR="0" wp14:anchorId="648656B8" wp14:editId="5E118F40">
            <wp:extent cx="4806950" cy="2298700"/>
            <wp:effectExtent l="0" t="0" r="12700" b="6350"/>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BDEFD5" w14:textId="5598CA3D" w:rsidR="006D56E4" w:rsidRPr="00EF5221" w:rsidRDefault="006D56E4" w:rsidP="006D56E4">
      <w:pPr>
        <w:pStyle w:val="Bijschrift"/>
        <w:rPr>
          <w:color w:val="auto"/>
          <w:sz w:val="16"/>
        </w:rPr>
      </w:pPr>
      <w:r w:rsidRPr="00EF5221">
        <w:rPr>
          <w:color w:val="auto"/>
          <w:sz w:val="16"/>
        </w:rPr>
        <w:t xml:space="preserve">Figuur 1 </w:t>
      </w:r>
      <w:proofErr w:type="spellStart"/>
      <w:r w:rsidRPr="00EF5221">
        <w:rPr>
          <w:color w:val="auto"/>
          <w:sz w:val="16"/>
        </w:rPr>
        <w:t>Eigenrisicodragerschap</w:t>
      </w:r>
      <w:proofErr w:type="spellEnd"/>
      <w:r w:rsidRPr="00EF5221">
        <w:rPr>
          <w:color w:val="auto"/>
          <w:sz w:val="16"/>
        </w:rPr>
        <w:t xml:space="preserve"> uitzendsector vs. overige sectoren (Bron UWV)</w:t>
      </w:r>
    </w:p>
    <w:p w14:paraId="784BC2F7" w14:textId="77777777" w:rsidR="00000B4C" w:rsidRPr="00EF5221" w:rsidRDefault="00000B4C" w:rsidP="00000B4C">
      <w:pPr>
        <w:pStyle w:val="Normaalweb"/>
        <w:spacing w:before="0" w:beforeAutospacing="0" w:after="0" w:afterAutospacing="0" w:line="276" w:lineRule="auto"/>
        <w:rPr>
          <w:szCs w:val="18"/>
        </w:rPr>
      </w:pPr>
      <w:r w:rsidRPr="00EF5221">
        <w:rPr>
          <w:rFonts w:ascii="Verdana" w:hAnsi="Verdana" w:cs="Calibri"/>
          <w:sz w:val="18"/>
          <w:szCs w:val="18"/>
        </w:rPr>
        <w:t xml:space="preserve">Daarentegen neemt bij de overige sectoren het aandeel eigenrisicodragers in de loonsom nog wel toe van 1,2% in 2013 naar 44% in 2019. Over het algemeen zijn het de grotere werkgevers met een relatief goed risico die kiezen voor het </w:t>
      </w:r>
      <w:proofErr w:type="spellStart"/>
      <w:r w:rsidRPr="00EF5221">
        <w:rPr>
          <w:rFonts w:ascii="Verdana" w:hAnsi="Verdana" w:cs="Calibri"/>
          <w:sz w:val="18"/>
          <w:szCs w:val="18"/>
        </w:rPr>
        <w:t>eigenrisicodragerschap</w:t>
      </w:r>
      <w:proofErr w:type="spellEnd"/>
      <w:r w:rsidRPr="00EF5221">
        <w:rPr>
          <w:rFonts w:ascii="Verdana" w:hAnsi="Verdana" w:cs="Calibri"/>
          <w:sz w:val="18"/>
          <w:szCs w:val="18"/>
        </w:rPr>
        <w:t xml:space="preserve">. </w:t>
      </w:r>
    </w:p>
    <w:p w14:paraId="0D83789E" w14:textId="77777777" w:rsidR="00000B4C" w:rsidRPr="00EF5221" w:rsidRDefault="00000B4C" w:rsidP="00000B4C">
      <w:pPr>
        <w:pStyle w:val="Normaalweb"/>
        <w:spacing w:before="0" w:beforeAutospacing="0" w:after="0" w:afterAutospacing="0" w:line="276" w:lineRule="auto"/>
        <w:rPr>
          <w:rFonts w:ascii="Verdana" w:hAnsi="Verdana" w:cs="Calibri"/>
          <w:sz w:val="18"/>
          <w:szCs w:val="18"/>
        </w:rPr>
      </w:pPr>
    </w:p>
    <w:p w14:paraId="07B6F4AF" w14:textId="1668F111" w:rsidR="00000B4C" w:rsidRPr="00EF5221" w:rsidRDefault="00000B4C" w:rsidP="00000B4C">
      <w:pPr>
        <w:pStyle w:val="Normaalweb"/>
        <w:spacing w:before="0" w:beforeAutospacing="0" w:after="0" w:afterAutospacing="0" w:line="276" w:lineRule="auto"/>
        <w:rPr>
          <w:rFonts w:ascii="Verdana" w:hAnsi="Verdana"/>
          <w:sz w:val="18"/>
          <w:szCs w:val="18"/>
        </w:rPr>
      </w:pPr>
      <w:r w:rsidRPr="00EF5221">
        <w:rPr>
          <w:rFonts w:ascii="Verdana" w:hAnsi="Verdana" w:cs="Calibri"/>
          <w:sz w:val="18"/>
          <w:szCs w:val="18"/>
        </w:rPr>
        <w:t xml:space="preserve">Als gevolg van het uitreden van de betere risico’s en de terugkeer van uitzendwerkgevers die over het algemeen een slechter risicoprofiel hebben, verslechterde het gemiddelde risicoprofiel van de publiek verzekerde werkgevers in de periode van 2013 tot en met 2019. </w:t>
      </w:r>
      <w:r w:rsidRPr="00EF5221">
        <w:rPr>
          <w:rFonts w:ascii="Verdana" w:hAnsi="Verdana"/>
          <w:sz w:val="18"/>
          <w:szCs w:val="18"/>
        </w:rPr>
        <w:t xml:space="preserve">Het slechter wordende publiek risicoprofiel zorgt voor hogere publieke lasten. </w:t>
      </w:r>
    </w:p>
    <w:p w14:paraId="61936EE9" w14:textId="77777777" w:rsidR="00000B4C" w:rsidRPr="00EF5221" w:rsidRDefault="00000B4C" w:rsidP="00000B4C"/>
    <w:p w14:paraId="74C821CD" w14:textId="50A76B81" w:rsidR="006D56E4" w:rsidRPr="00EF5221" w:rsidRDefault="006D56E4" w:rsidP="006D56E4">
      <w:pPr>
        <w:pStyle w:val="Normaalweb"/>
        <w:tabs>
          <w:tab w:val="left" w:pos="567"/>
        </w:tabs>
        <w:spacing w:before="0" w:beforeAutospacing="0" w:after="0" w:afterAutospacing="0" w:line="276" w:lineRule="auto"/>
        <w:rPr>
          <w:rFonts w:ascii="Verdana" w:hAnsi="Verdana"/>
          <w:sz w:val="18"/>
          <w:szCs w:val="18"/>
          <w:u w:val="single"/>
        </w:rPr>
      </w:pPr>
      <w:r w:rsidRPr="00EF5221">
        <w:rPr>
          <w:rFonts w:ascii="Verdana" w:hAnsi="Verdana"/>
          <w:sz w:val="18"/>
          <w:szCs w:val="18"/>
          <w:u w:val="single"/>
        </w:rPr>
        <w:t>2.</w:t>
      </w:r>
      <w:r w:rsidR="00850F77" w:rsidRPr="00EF5221">
        <w:rPr>
          <w:rFonts w:ascii="Verdana" w:hAnsi="Verdana"/>
          <w:sz w:val="18"/>
          <w:szCs w:val="18"/>
          <w:u w:val="single"/>
        </w:rPr>
        <w:t>3</w:t>
      </w:r>
      <w:r w:rsidRPr="00EF5221">
        <w:rPr>
          <w:rFonts w:ascii="Verdana" w:hAnsi="Verdana"/>
          <w:sz w:val="18"/>
          <w:szCs w:val="18"/>
          <w:u w:val="single"/>
        </w:rPr>
        <w:t xml:space="preserve">.4 Stijgende verblijfsduur WW-gerechtigden en hogere instroomkans bij einde </w:t>
      </w:r>
    </w:p>
    <w:p w14:paraId="3CC5B321" w14:textId="77777777" w:rsidR="006D56E4" w:rsidRPr="00EF5221" w:rsidRDefault="006D56E4" w:rsidP="006D56E4">
      <w:pPr>
        <w:pStyle w:val="Normaalweb"/>
        <w:tabs>
          <w:tab w:val="left" w:pos="567"/>
        </w:tabs>
        <w:spacing w:before="0" w:beforeAutospacing="0" w:after="0" w:afterAutospacing="0" w:line="276" w:lineRule="auto"/>
        <w:rPr>
          <w:rFonts w:ascii="Verdana" w:hAnsi="Verdana"/>
          <w:sz w:val="18"/>
          <w:szCs w:val="18"/>
          <w:u w:val="single"/>
        </w:rPr>
      </w:pPr>
      <w:r w:rsidRPr="00EF5221">
        <w:rPr>
          <w:rFonts w:ascii="Verdana" w:hAnsi="Verdana"/>
          <w:sz w:val="18"/>
          <w:szCs w:val="18"/>
        </w:rPr>
        <w:tab/>
      </w:r>
      <w:r w:rsidRPr="00EF5221">
        <w:rPr>
          <w:rFonts w:ascii="Verdana" w:hAnsi="Verdana"/>
          <w:sz w:val="18"/>
          <w:szCs w:val="18"/>
          <w:u w:val="single"/>
        </w:rPr>
        <w:t xml:space="preserve">WW-uitkering </w:t>
      </w:r>
    </w:p>
    <w:p w14:paraId="742B9590" w14:textId="7C3B89B8" w:rsidR="00733969" w:rsidRPr="00EF5221" w:rsidRDefault="006D56E4" w:rsidP="00733969">
      <w:pPr>
        <w:spacing w:line="276" w:lineRule="auto"/>
      </w:pPr>
      <w:r w:rsidRPr="00EF5221">
        <w:t xml:space="preserve">De gemiddelde verblijfsduur in de ZW neemt af van 24,5 weken in 2014 naar 18,4 weken in 2019. Daarbij valt op dat de </w:t>
      </w:r>
      <w:r w:rsidRPr="00EF5221">
        <w:rPr>
          <w:rFonts w:cs="Calibri"/>
        </w:rPr>
        <w:t xml:space="preserve">verblijfsduur van zieke WW-gerechtigden in de ZW </w:t>
      </w:r>
      <w:r w:rsidR="00850F77" w:rsidRPr="00EF5221">
        <w:rPr>
          <w:rFonts w:cs="Calibri"/>
        </w:rPr>
        <w:t xml:space="preserve">juist </w:t>
      </w:r>
      <w:r w:rsidRPr="00EF5221">
        <w:rPr>
          <w:rFonts w:cs="Calibri"/>
        </w:rPr>
        <w:t>boven de gemiddelde verblijfsduur ligt en toeneemt van 26 weken in 2013 naar 36 weken in 2019.</w:t>
      </w:r>
      <w:r w:rsidRPr="00EF5221">
        <w:rPr>
          <w:rStyle w:val="Voetnootmarkering"/>
          <w:rFonts w:cs="Calibri"/>
        </w:rPr>
        <w:footnoteReference w:id="18"/>
      </w:r>
      <w:r w:rsidRPr="00EF5221">
        <w:rPr>
          <w:rFonts w:cs="Calibri"/>
        </w:rPr>
        <w:t xml:space="preserve"> </w:t>
      </w:r>
      <w:r w:rsidR="00B66992" w:rsidRPr="00EF5221">
        <w:rPr>
          <w:rFonts w:cs="Calibri"/>
        </w:rPr>
        <w:t>D</w:t>
      </w:r>
      <w:r w:rsidRPr="00EF5221">
        <w:rPr>
          <w:rFonts w:cs="Calibri"/>
        </w:rPr>
        <w:t xml:space="preserve">e instroom van het aantal zieke WW-gerechtigden </w:t>
      </w:r>
      <w:r w:rsidR="00B66992" w:rsidRPr="00EF5221">
        <w:rPr>
          <w:rFonts w:cs="Calibri"/>
        </w:rPr>
        <w:t xml:space="preserve">nam </w:t>
      </w:r>
      <w:r w:rsidRPr="00EF5221">
        <w:rPr>
          <w:rFonts w:cs="Calibri"/>
        </w:rPr>
        <w:t xml:space="preserve">eerst toe en vervolgens af in de periode </w:t>
      </w:r>
      <w:r w:rsidR="00850F77" w:rsidRPr="00EF5221">
        <w:rPr>
          <w:rFonts w:cs="Calibri"/>
        </w:rPr>
        <w:t xml:space="preserve">van </w:t>
      </w:r>
      <w:r w:rsidRPr="00EF5221">
        <w:rPr>
          <w:rFonts w:cs="Calibri"/>
        </w:rPr>
        <w:t>2013</w:t>
      </w:r>
      <w:r w:rsidR="00850F77" w:rsidRPr="00EF5221">
        <w:rPr>
          <w:rFonts w:cs="Calibri"/>
        </w:rPr>
        <w:t xml:space="preserve"> tot en met </w:t>
      </w:r>
      <w:r w:rsidRPr="00EF5221">
        <w:rPr>
          <w:rFonts w:cs="Calibri"/>
        </w:rPr>
        <w:t xml:space="preserve">2019. </w:t>
      </w:r>
      <w:r w:rsidRPr="00EF5221">
        <w:t>De instroom van zieke WW-gerechtigden is sterk afhankelijk van conjuncturele ontwikkelingen (zie paragraaf 2.</w:t>
      </w:r>
      <w:r w:rsidR="003674AC" w:rsidRPr="00EF5221">
        <w:t>3</w:t>
      </w:r>
      <w:r w:rsidRPr="00EF5221">
        <w:t xml:space="preserve">.6). </w:t>
      </w:r>
    </w:p>
    <w:p w14:paraId="750DF714" w14:textId="77777777" w:rsidR="006A3001" w:rsidRPr="00EF5221" w:rsidRDefault="006A3001" w:rsidP="00733969">
      <w:pPr>
        <w:spacing w:line="276" w:lineRule="auto"/>
      </w:pPr>
    </w:p>
    <w:p w14:paraId="6864DC2B" w14:textId="7A6AFA37" w:rsidR="006A3001" w:rsidRPr="00EF5221" w:rsidRDefault="006A3001" w:rsidP="00733969">
      <w:pPr>
        <w:spacing w:line="276" w:lineRule="auto"/>
      </w:pPr>
      <w:r w:rsidRPr="00EF5221">
        <w:t xml:space="preserve">Tabel 6 Overzicht instroom WW-gerechtigden </w:t>
      </w:r>
    </w:p>
    <w:tbl>
      <w:tblPr>
        <w:tblStyle w:val="Rastertabel4-Accent1"/>
        <w:tblW w:w="0" w:type="auto"/>
        <w:tblInd w:w="0" w:type="dxa"/>
        <w:tblLook w:val="04A0" w:firstRow="1" w:lastRow="0" w:firstColumn="1" w:lastColumn="0" w:noHBand="0" w:noVBand="1"/>
      </w:tblPr>
      <w:tblGrid>
        <w:gridCol w:w="1101"/>
        <w:gridCol w:w="1842"/>
      </w:tblGrid>
      <w:tr w:rsidR="006F6B60" w:rsidRPr="00EF5221" w14:paraId="7BDCF961" w14:textId="77777777" w:rsidTr="007B6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3A8475D" w14:textId="7DB082AD" w:rsidR="006F6B60" w:rsidRPr="00EF5221" w:rsidRDefault="006F6B60" w:rsidP="00733969">
            <w:pPr>
              <w:spacing w:line="276" w:lineRule="auto"/>
              <w:rPr>
                <w:color w:val="FFFFFF" w:themeColor="background1"/>
              </w:rPr>
            </w:pPr>
            <w:r w:rsidRPr="00EF5221">
              <w:rPr>
                <w:color w:val="FFFFFF" w:themeColor="background1"/>
              </w:rPr>
              <w:t>Jaar</w:t>
            </w:r>
          </w:p>
        </w:tc>
        <w:tc>
          <w:tcPr>
            <w:tcW w:w="1842" w:type="dxa"/>
          </w:tcPr>
          <w:p w14:paraId="69C669FD" w14:textId="0F86653D" w:rsidR="006F6B60" w:rsidRPr="00EF5221" w:rsidRDefault="006F6B60" w:rsidP="00733969">
            <w:pPr>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EF5221">
              <w:rPr>
                <w:color w:val="FFFFFF" w:themeColor="background1"/>
              </w:rPr>
              <w:t>Instroom WW-gerechtigden</w:t>
            </w:r>
          </w:p>
        </w:tc>
      </w:tr>
      <w:tr w:rsidR="006F6B60" w:rsidRPr="00EF5221" w14:paraId="21A984B5" w14:textId="77777777" w:rsidTr="007B6F3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01" w:type="dxa"/>
            <w:noWrap/>
            <w:hideMark/>
          </w:tcPr>
          <w:p w14:paraId="630B37FE" w14:textId="77777777" w:rsidR="006F6B60" w:rsidRPr="00EF5221" w:rsidRDefault="006F6B60" w:rsidP="006F6B60">
            <w:pPr>
              <w:autoSpaceDN/>
              <w:spacing w:line="240" w:lineRule="auto"/>
              <w:rPr>
                <w:rFonts w:eastAsia="Times New Roman" w:cs="Times New Roman"/>
              </w:rPr>
            </w:pPr>
            <w:r w:rsidRPr="00EF5221">
              <w:rPr>
                <w:rFonts w:eastAsia="Times New Roman" w:cs="Times New Roman"/>
              </w:rPr>
              <w:t>2013</w:t>
            </w:r>
          </w:p>
        </w:tc>
        <w:tc>
          <w:tcPr>
            <w:tcW w:w="1842" w:type="dxa"/>
            <w:noWrap/>
            <w:hideMark/>
          </w:tcPr>
          <w:p w14:paraId="406FF226" w14:textId="77777777" w:rsidR="006F6B60" w:rsidRPr="00EF5221" w:rsidRDefault="006F6B60" w:rsidP="006F6B60">
            <w:pPr>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F5221">
              <w:rPr>
                <w:rFonts w:eastAsia="Times New Roman" w:cs="Times New Roman"/>
              </w:rPr>
              <w:t>32.282</w:t>
            </w:r>
          </w:p>
        </w:tc>
      </w:tr>
      <w:tr w:rsidR="006F6B60" w:rsidRPr="00EF5221" w14:paraId="2C4F68BB" w14:textId="77777777" w:rsidTr="007B6F35">
        <w:trPr>
          <w:trHeight w:val="230"/>
        </w:trPr>
        <w:tc>
          <w:tcPr>
            <w:cnfStyle w:val="001000000000" w:firstRow="0" w:lastRow="0" w:firstColumn="1" w:lastColumn="0" w:oddVBand="0" w:evenVBand="0" w:oddHBand="0" w:evenHBand="0" w:firstRowFirstColumn="0" w:firstRowLastColumn="0" w:lastRowFirstColumn="0" w:lastRowLastColumn="0"/>
            <w:tcW w:w="1101" w:type="dxa"/>
            <w:noWrap/>
            <w:hideMark/>
          </w:tcPr>
          <w:p w14:paraId="7F54D29D" w14:textId="77777777" w:rsidR="006F6B60" w:rsidRPr="00EF5221" w:rsidRDefault="006F6B60" w:rsidP="006F6B60">
            <w:pPr>
              <w:autoSpaceDN/>
              <w:spacing w:line="240" w:lineRule="auto"/>
              <w:rPr>
                <w:rFonts w:eastAsia="Times New Roman" w:cs="Times New Roman"/>
              </w:rPr>
            </w:pPr>
            <w:r w:rsidRPr="00EF5221">
              <w:rPr>
                <w:rFonts w:eastAsia="Times New Roman" w:cs="Times New Roman"/>
              </w:rPr>
              <w:t>2014</w:t>
            </w:r>
          </w:p>
        </w:tc>
        <w:tc>
          <w:tcPr>
            <w:tcW w:w="1842" w:type="dxa"/>
            <w:noWrap/>
            <w:hideMark/>
          </w:tcPr>
          <w:p w14:paraId="7420E072" w14:textId="77777777" w:rsidR="006F6B60" w:rsidRPr="00EF5221" w:rsidRDefault="006F6B60" w:rsidP="006F6B60">
            <w:pPr>
              <w:autoSpaceDN/>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F5221">
              <w:rPr>
                <w:rFonts w:eastAsia="Times New Roman" w:cs="Times New Roman"/>
              </w:rPr>
              <w:t>39.202</w:t>
            </w:r>
          </w:p>
        </w:tc>
      </w:tr>
      <w:tr w:rsidR="006F6B60" w:rsidRPr="00EF5221" w14:paraId="57D87EDA" w14:textId="77777777" w:rsidTr="007B6F3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01" w:type="dxa"/>
            <w:noWrap/>
            <w:hideMark/>
          </w:tcPr>
          <w:p w14:paraId="7D719663" w14:textId="77777777" w:rsidR="006F6B60" w:rsidRPr="00EF5221" w:rsidRDefault="006F6B60" w:rsidP="006F6B60">
            <w:pPr>
              <w:autoSpaceDN/>
              <w:spacing w:line="240" w:lineRule="auto"/>
              <w:rPr>
                <w:rFonts w:eastAsia="Times New Roman" w:cs="Times New Roman"/>
              </w:rPr>
            </w:pPr>
            <w:r w:rsidRPr="00EF5221">
              <w:rPr>
                <w:rFonts w:eastAsia="Times New Roman" w:cs="Times New Roman"/>
              </w:rPr>
              <w:t>2015</w:t>
            </w:r>
          </w:p>
        </w:tc>
        <w:tc>
          <w:tcPr>
            <w:tcW w:w="1842" w:type="dxa"/>
            <w:noWrap/>
            <w:hideMark/>
          </w:tcPr>
          <w:p w14:paraId="09A3469C" w14:textId="77777777" w:rsidR="006F6B60" w:rsidRPr="00EF5221" w:rsidRDefault="006F6B60" w:rsidP="006F6B60">
            <w:pPr>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F5221">
              <w:rPr>
                <w:rFonts w:eastAsia="Times New Roman" w:cs="Times New Roman"/>
              </w:rPr>
              <w:t>39.408</w:t>
            </w:r>
          </w:p>
        </w:tc>
      </w:tr>
      <w:tr w:rsidR="006F6B60" w:rsidRPr="00EF5221" w14:paraId="2F49AD6C" w14:textId="77777777" w:rsidTr="007B6F35">
        <w:trPr>
          <w:trHeight w:val="230"/>
        </w:trPr>
        <w:tc>
          <w:tcPr>
            <w:cnfStyle w:val="001000000000" w:firstRow="0" w:lastRow="0" w:firstColumn="1" w:lastColumn="0" w:oddVBand="0" w:evenVBand="0" w:oddHBand="0" w:evenHBand="0" w:firstRowFirstColumn="0" w:firstRowLastColumn="0" w:lastRowFirstColumn="0" w:lastRowLastColumn="0"/>
            <w:tcW w:w="1101" w:type="dxa"/>
            <w:noWrap/>
            <w:hideMark/>
          </w:tcPr>
          <w:p w14:paraId="2787432B" w14:textId="77777777" w:rsidR="006F6B60" w:rsidRPr="00EF5221" w:rsidRDefault="006F6B60" w:rsidP="006F6B60">
            <w:pPr>
              <w:autoSpaceDN/>
              <w:spacing w:line="240" w:lineRule="auto"/>
              <w:rPr>
                <w:rFonts w:eastAsia="Times New Roman" w:cs="Times New Roman"/>
              </w:rPr>
            </w:pPr>
            <w:r w:rsidRPr="00EF5221">
              <w:rPr>
                <w:rFonts w:eastAsia="Times New Roman" w:cs="Times New Roman"/>
              </w:rPr>
              <w:t>2016</w:t>
            </w:r>
          </w:p>
        </w:tc>
        <w:tc>
          <w:tcPr>
            <w:tcW w:w="1842" w:type="dxa"/>
            <w:noWrap/>
            <w:hideMark/>
          </w:tcPr>
          <w:p w14:paraId="0B289786" w14:textId="77777777" w:rsidR="006F6B60" w:rsidRPr="00EF5221" w:rsidRDefault="006F6B60" w:rsidP="006F6B60">
            <w:pPr>
              <w:autoSpaceDN/>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F5221">
              <w:rPr>
                <w:rFonts w:eastAsia="Times New Roman" w:cs="Times New Roman"/>
              </w:rPr>
              <w:t>41.466</w:t>
            </w:r>
          </w:p>
        </w:tc>
      </w:tr>
      <w:tr w:rsidR="006F6B60" w:rsidRPr="00EF5221" w14:paraId="67E39729" w14:textId="77777777" w:rsidTr="007B6F3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01" w:type="dxa"/>
            <w:noWrap/>
            <w:hideMark/>
          </w:tcPr>
          <w:p w14:paraId="388ED57C" w14:textId="77777777" w:rsidR="006F6B60" w:rsidRPr="00EF5221" w:rsidRDefault="006F6B60" w:rsidP="006F6B60">
            <w:pPr>
              <w:autoSpaceDN/>
              <w:spacing w:line="240" w:lineRule="auto"/>
              <w:rPr>
                <w:rFonts w:eastAsia="Times New Roman" w:cs="Times New Roman"/>
              </w:rPr>
            </w:pPr>
            <w:r w:rsidRPr="00EF5221">
              <w:rPr>
                <w:rFonts w:eastAsia="Times New Roman" w:cs="Times New Roman"/>
              </w:rPr>
              <w:t>2017</w:t>
            </w:r>
          </w:p>
        </w:tc>
        <w:tc>
          <w:tcPr>
            <w:tcW w:w="1842" w:type="dxa"/>
            <w:noWrap/>
            <w:hideMark/>
          </w:tcPr>
          <w:p w14:paraId="5AA0DA4D" w14:textId="77777777" w:rsidR="006F6B60" w:rsidRPr="00EF5221" w:rsidRDefault="006F6B60" w:rsidP="006F6B60">
            <w:pPr>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F5221">
              <w:rPr>
                <w:rFonts w:eastAsia="Times New Roman" w:cs="Times New Roman"/>
              </w:rPr>
              <w:t>38.771</w:t>
            </w:r>
          </w:p>
        </w:tc>
      </w:tr>
      <w:tr w:rsidR="006F6B60" w:rsidRPr="00EF5221" w14:paraId="20774C51" w14:textId="77777777" w:rsidTr="007B6F35">
        <w:trPr>
          <w:trHeight w:val="230"/>
        </w:trPr>
        <w:tc>
          <w:tcPr>
            <w:cnfStyle w:val="001000000000" w:firstRow="0" w:lastRow="0" w:firstColumn="1" w:lastColumn="0" w:oddVBand="0" w:evenVBand="0" w:oddHBand="0" w:evenHBand="0" w:firstRowFirstColumn="0" w:firstRowLastColumn="0" w:lastRowFirstColumn="0" w:lastRowLastColumn="0"/>
            <w:tcW w:w="1101" w:type="dxa"/>
            <w:noWrap/>
            <w:hideMark/>
          </w:tcPr>
          <w:p w14:paraId="212ADBE9" w14:textId="77777777" w:rsidR="006F6B60" w:rsidRPr="00EF5221" w:rsidRDefault="006F6B60" w:rsidP="006F6B60">
            <w:pPr>
              <w:autoSpaceDN/>
              <w:spacing w:line="240" w:lineRule="auto"/>
              <w:rPr>
                <w:rFonts w:eastAsia="Times New Roman" w:cs="Times New Roman"/>
              </w:rPr>
            </w:pPr>
            <w:r w:rsidRPr="00EF5221">
              <w:rPr>
                <w:rFonts w:eastAsia="Times New Roman" w:cs="Times New Roman"/>
              </w:rPr>
              <w:t>2018</w:t>
            </w:r>
          </w:p>
        </w:tc>
        <w:tc>
          <w:tcPr>
            <w:tcW w:w="1842" w:type="dxa"/>
            <w:noWrap/>
            <w:hideMark/>
          </w:tcPr>
          <w:p w14:paraId="04432F39" w14:textId="77777777" w:rsidR="006F6B60" w:rsidRPr="00EF5221" w:rsidRDefault="006F6B60" w:rsidP="006F6B60">
            <w:pPr>
              <w:autoSpaceDN/>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F5221">
              <w:rPr>
                <w:rFonts w:eastAsia="Times New Roman" w:cs="Times New Roman"/>
              </w:rPr>
              <w:t>34.622</w:t>
            </w:r>
          </w:p>
        </w:tc>
      </w:tr>
      <w:tr w:rsidR="006F6B60" w:rsidRPr="00EF5221" w14:paraId="774B2C56" w14:textId="77777777" w:rsidTr="007B6F3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01" w:type="dxa"/>
            <w:noWrap/>
            <w:hideMark/>
          </w:tcPr>
          <w:p w14:paraId="1BB77228" w14:textId="77777777" w:rsidR="006F6B60" w:rsidRPr="00EF5221" w:rsidRDefault="006F6B60" w:rsidP="006F6B60">
            <w:pPr>
              <w:autoSpaceDN/>
              <w:spacing w:line="240" w:lineRule="auto"/>
              <w:rPr>
                <w:rFonts w:eastAsia="Times New Roman" w:cs="Times New Roman"/>
              </w:rPr>
            </w:pPr>
            <w:r w:rsidRPr="00EF5221">
              <w:rPr>
                <w:rFonts w:eastAsia="Times New Roman" w:cs="Times New Roman"/>
              </w:rPr>
              <w:t>2019</w:t>
            </w:r>
          </w:p>
        </w:tc>
        <w:tc>
          <w:tcPr>
            <w:tcW w:w="1842" w:type="dxa"/>
            <w:noWrap/>
            <w:hideMark/>
          </w:tcPr>
          <w:p w14:paraId="67A31AE2" w14:textId="77777777" w:rsidR="006F6B60" w:rsidRPr="00EF5221" w:rsidRDefault="006F6B60" w:rsidP="007B6F35">
            <w:pPr>
              <w:keepNext/>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F5221">
              <w:rPr>
                <w:rFonts w:eastAsia="Times New Roman" w:cs="Times New Roman"/>
              </w:rPr>
              <w:t>31.551</w:t>
            </w:r>
          </w:p>
        </w:tc>
      </w:tr>
    </w:tbl>
    <w:p w14:paraId="63578C55" w14:textId="15316860" w:rsidR="006A3001" w:rsidRPr="00EF5221" w:rsidRDefault="006A3001" w:rsidP="007B6F35">
      <w:pPr>
        <w:pStyle w:val="Geenafstand"/>
        <w:spacing w:line="276" w:lineRule="auto"/>
        <w:rPr>
          <w:lang w:val="nl-NL"/>
        </w:rPr>
      </w:pPr>
    </w:p>
    <w:p w14:paraId="4530C719" w14:textId="77777777" w:rsidR="00EB3E82" w:rsidRPr="00EF5221" w:rsidRDefault="00EB3E82" w:rsidP="00EB3E82">
      <w:pPr>
        <w:pStyle w:val="Geenafstand"/>
        <w:spacing w:line="276" w:lineRule="auto"/>
        <w:rPr>
          <w:szCs w:val="18"/>
          <w:lang w:val="nl-NL"/>
        </w:rPr>
      </w:pPr>
      <w:r w:rsidRPr="00EF5221">
        <w:rPr>
          <w:lang w:val="nl-NL"/>
        </w:rPr>
        <w:lastRenderedPageBreak/>
        <w:t xml:space="preserve">Ook lijkt de instroomkans van WW-gerechtigden samen te hangen met het bereiken van de maximum uitkeringsduur. </w:t>
      </w:r>
      <w:r w:rsidRPr="00EF5221">
        <w:rPr>
          <w:szCs w:val="18"/>
          <w:lang w:val="nl-NL"/>
        </w:rPr>
        <w:t xml:space="preserve">Figuur 2 laat zien dat WW-gerechtigden zich vaker ziekmelden naarmate het moment in zicht komt waarop de WW-uitkering eindigt. </w:t>
      </w:r>
      <w:r w:rsidRPr="00EF5221">
        <w:rPr>
          <w:lang w:val="nl-NL"/>
        </w:rPr>
        <w:t>Dit is onafhankelijk van de hoeveelheid WW-rechten die men heeft opgebouwd.</w:t>
      </w:r>
      <w:r w:rsidRPr="00EF5221">
        <w:rPr>
          <w:szCs w:val="18"/>
          <w:lang w:val="nl-NL"/>
        </w:rPr>
        <w:t xml:space="preserve"> </w:t>
      </w:r>
      <w:r w:rsidRPr="00EF5221">
        <w:rPr>
          <w:rFonts w:cs="Arial"/>
          <w:color w:val="000000"/>
          <w:szCs w:val="18"/>
          <w:lang w:val="nl-NL"/>
        </w:rPr>
        <w:t xml:space="preserve">Ondanks dat </w:t>
      </w:r>
      <w:r w:rsidRPr="00EF5221">
        <w:rPr>
          <w:szCs w:val="18"/>
          <w:lang w:val="nl-NL"/>
        </w:rPr>
        <w:t xml:space="preserve">WW-gerechtigden verplicht zijn zich bij ziekte uiterlijk op de tweede ziektedag te melden bij UWV, kan er sprake zijn van ‘uitgestelde’ ziekmeldingen. Sommigen melden zich pas ziek wanneer het einde van het WW-uitkering in zicht komt, terwijl zij mogelijk al langer ziek zijn. </w:t>
      </w:r>
    </w:p>
    <w:p w14:paraId="237DF069" w14:textId="77777777" w:rsidR="00EB3E82" w:rsidRPr="00EF5221" w:rsidRDefault="00EB3E82" w:rsidP="007B6F35">
      <w:pPr>
        <w:pStyle w:val="Geenafstand"/>
        <w:spacing w:line="276" w:lineRule="auto"/>
        <w:rPr>
          <w:lang w:val="nl-NL"/>
        </w:rPr>
      </w:pPr>
    </w:p>
    <w:p w14:paraId="67B8405D" w14:textId="1A9744E0" w:rsidR="006D56E4" w:rsidRPr="00EF5221" w:rsidRDefault="006D56E4" w:rsidP="006D56E4">
      <w:pPr>
        <w:pStyle w:val="Geenafstand"/>
        <w:keepNext/>
        <w:spacing w:line="276" w:lineRule="auto"/>
        <w:rPr>
          <w:lang w:val="nl-NL"/>
        </w:rPr>
      </w:pPr>
      <w:r w:rsidRPr="00EF5221">
        <w:rPr>
          <w:noProof/>
          <w:lang w:val="nl-NL" w:eastAsia="nl-NL"/>
        </w:rPr>
        <w:drawing>
          <wp:inline distT="0" distB="0" distL="0" distR="0" wp14:anchorId="10B9B207" wp14:editId="7FC3EE3B">
            <wp:extent cx="4629150" cy="320675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3206750"/>
                    </a:xfrm>
                    <a:prstGeom prst="rect">
                      <a:avLst/>
                    </a:prstGeom>
                    <a:noFill/>
                    <a:ln>
                      <a:noFill/>
                    </a:ln>
                  </pic:spPr>
                </pic:pic>
              </a:graphicData>
            </a:graphic>
          </wp:inline>
        </w:drawing>
      </w:r>
    </w:p>
    <w:p w14:paraId="228A2619" w14:textId="03A8794D" w:rsidR="006D56E4" w:rsidRPr="00EF5221" w:rsidRDefault="006D56E4" w:rsidP="006D56E4">
      <w:pPr>
        <w:pStyle w:val="Bijschrift"/>
        <w:rPr>
          <w:color w:val="auto"/>
          <w:sz w:val="16"/>
        </w:rPr>
      </w:pPr>
      <w:r w:rsidRPr="00EF5221">
        <w:rPr>
          <w:color w:val="auto"/>
          <w:sz w:val="16"/>
        </w:rPr>
        <w:t>Figuur 2 Instroom ZW van WW-gerechtigden naar uitkeringsduur WW (bron IBO arbeidsongeschiktheid, 2017)</w:t>
      </w:r>
    </w:p>
    <w:p w14:paraId="5AFCA157" w14:textId="77777777" w:rsidR="00315FBE" w:rsidRPr="00EF5221" w:rsidRDefault="00315FBE" w:rsidP="00315FBE">
      <w:pPr>
        <w:pStyle w:val="Geenafstand"/>
        <w:spacing w:line="276" w:lineRule="auto"/>
        <w:rPr>
          <w:szCs w:val="18"/>
          <w:lang w:val="nl-NL"/>
        </w:rPr>
      </w:pPr>
    </w:p>
    <w:p w14:paraId="28C66C82" w14:textId="77777777" w:rsidR="00315FBE" w:rsidRPr="00EF5221" w:rsidRDefault="00315FBE" w:rsidP="00315FBE">
      <w:pPr>
        <w:pStyle w:val="Geenafstand"/>
        <w:spacing w:line="276" w:lineRule="auto"/>
        <w:rPr>
          <w:szCs w:val="18"/>
          <w:lang w:val="nl-NL"/>
        </w:rPr>
      </w:pPr>
      <w:r w:rsidRPr="00EF5221">
        <w:rPr>
          <w:szCs w:val="18"/>
          <w:lang w:val="nl-NL"/>
        </w:rPr>
        <w:t xml:space="preserve">Figuur 3 laat zien hoe lang WW-gerechtigden ziek zijn en de relatie tot het moment van ziekmelding. Ziekmeldingen aan het einde van de uitkeringsduur van de WW-gerechtigden luiden vaker een langdurige ziekteperiode in dan ziekmeldingen aan het begin van de uitkeringsduur. Aangezien het niet logisch lijkt dat juist de ernstigere gezondheidsklachten met gemiddeld langere hersteltermijnen laat worden gemeld, is het niet aannemelijk dat ‘uitgestelde’ meldingen de stijging van de ziekmeldingen verklaren. Een mogelijke verklaring is dat het financiële belang van behoud van een uitkering een rol speelt in de afweging om zich ziek dan wel beter te melden. </w:t>
      </w:r>
    </w:p>
    <w:p w14:paraId="2763FF86" w14:textId="77777777" w:rsidR="00F26DBC" w:rsidRPr="00EF5221" w:rsidRDefault="00F26DBC" w:rsidP="00F26DBC">
      <w:pPr>
        <w:rPr>
          <w:highlight w:val="yellow"/>
        </w:rPr>
      </w:pPr>
    </w:p>
    <w:p w14:paraId="58C3AE93" w14:textId="4F955301" w:rsidR="006D56E4" w:rsidRPr="00EF5221" w:rsidRDefault="006D56E4" w:rsidP="006D56E4">
      <w:pPr>
        <w:keepNext/>
        <w:spacing w:line="276" w:lineRule="auto"/>
      </w:pPr>
      <w:r w:rsidRPr="00EF5221">
        <w:rPr>
          <w:noProof/>
        </w:rPr>
        <w:lastRenderedPageBreak/>
        <w:drawing>
          <wp:inline distT="0" distB="0" distL="0" distR="0" wp14:anchorId="3EEF8093" wp14:editId="69B7E9E8">
            <wp:extent cx="4705350" cy="31115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3111500"/>
                    </a:xfrm>
                    <a:prstGeom prst="rect">
                      <a:avLst/>
                    </a:prstGeom>
                    <a:noFill/>
                    <a:ln>
                      <a:noFill/>
                    </a:ln>
                  </pic:spPr>
                </pic:pic>
              </a:graphicData>
            </a:graphic>
          </wp:inline>
        </w:drawing>
      </w:r>
    </w:p>
    <w:p w14:paraId="4825555D" w14:textId="3DD62F59" w:rsidR="00B13AF0" w:rsidRPr="00EF5221" w:rsidRDefault="006D56E4" w:rsidP="00223337">
      <w:pPr>
        <w:pStyle w:val="Bijschrift"/>
        <w:rPr>
          <w:color w:val="auto"/>
          <w:sz w:val="16"/>
        </w:rPr>
      </w:pPr>
      <w:r w:rsidRPr="00EF5221">
        <w:rPr>
          <w:color w:val="auto"/>
          <w:sz w:val="16"/>
        </w:rPr>
        <w:t>Figuur 3 Ziekteverloop WW-gerechtigden voor verschillende ziekmeldmomenten (bron IBO arbe</w:t>
      </w:r>
      <w:r w:rsidR="00223337" w:rsidRPr="00EF5221">
        <w:rPr>
          <w:color w:val="auto"/>
          <w:sz w:val="16"/>
        </w:rPr>
        <w:t>i</w:t>
      </w:r>
      <w:r w:rsidRPr="00EF5221">
        <w:rPr>
          <w:color w:val="auto"/>
          <w:sz w:val="16"/>
        </w:rPr>
        <w:t>dsongeschiktheid, 2017)</w:t>
      </w:r>
    </w:p>
    <w:p w14:paraId="23800650" w14:textId="4F9CBA3C" w:rsidR="006D56E4" w:rsidRPr="00EF5221" w:rsidRDefault="006D56E4" w:rsidP="006D56E4">
      <w:pPr>
        <w:spacing w:line="276" w:lineRule="auto"/>
        <w:rPr>
          <w:u w:val="single"/>
        </w:rPr>
      </w:pPr>
      <w:r w:rsidRPr="00EF5221">
        <w:rPr>
          <w:u w:val="single"/>
        </w:rPr>
        <w:t>2.</w:t>
      </w:r>
      <w:r w:rsidR="0035176B" w:rsidRPr="00EF5221">
        <w:rPr>
          <w:u w:val="single"/>
        </w:rPr>
        <w:t>3</w:t>
      </w:r>
      <w:r w:rsidRPr="00EF5221">
        <w:rPr>
          <w:u w:val="single"/>
        </w:rPr>
        <w:t xml:space="preserve">.5 Hogere instroom en stijgende verblijfsduur bij de vangnetgroep </w:t>
      </w:r>
      <w:proofErr w:type="spellStart"/>
      <w:r w:rsidRPr="00EF5221">
        <w:rPr>
          <w:u w:val="single"/>
        </w:rPr>
        <w:t>zwangeren</w:t>
      </w:r>
      <w:proofErr w:type="spellEnd"/>
      <w:r w:rsidRPr="00EF5221">
        <w:rPr>
          <w:u w:val="single"/>
        </w:rPr>
        <w:t xml:space="preserve"> </w:t>
      </w:r>
    </w:p>
    <w:p w14:paraId="4E091B8E" w14:textId="06BD330F" w:rsidR="00A239BE" w:rsidRPr="00EF5221" w:rsidRDefault="006D56E4" w:rsidP="006D56E4">
      <w:pPr>
        <w:spacing w:line="276" w:lineRule="auto"/>
        <w:rPr>
          <w:rFonts w:cs="Calibri"/>
        </w:rPr>
      </w:pPr>
      <w:r w:rsidRPr="00EF5221">
        <w:rPr>
          <w:rFonts w:cs="Calibri"/>
        </w:rPr>
        <w:t xml:space="preserve">De vangnetgroep </w:t>
      </w:r>
      <w:proofErr w:type="spellStart"/>
      <w:r w:rsidRPr="00EF5221">
        <w:rPr>
          <w:rFonts w:cs="Calibri"/>
        </w:rPr>
        <w:t>zwangeren</w:t>
      </w:r>
      <w:proofErr w:type="spellEnd"/>
      <w:r w:rsidRPr="00EF5221">
        <w:rPr>
          <w:rFonts w:cs="Calibri"/>
        </w:rPr>
        <w:t xml:space="preserve"> is de grootste groep die instroomt in de periode</w:t>
      </w:r>
      <w:r w:rsidR="007F4903" w:rsidRPr="00EF5221">
        <w:t xml:space="preserve"> </w:t>
      </w:r>
      <w:r w:rsidRPr="00EF5221">
        <w:t xml:space="preserve">de periode </w:t>
      </w:r>
      <w:r w:rsidR="00D70F1D" w:rsidRPr="00EF5221">
        <w:t xml:space="preserve">van </w:t>
      </w:r>
      <w:r w:rsidRPr="00EF5221">
        <w:t>2013</w:t>
      </w:r>
      <w:r w:rsidR="00D70F1D" w:rsidRPr="00EF5221">
        <w:t xml:space="preserve"> tot en met </w:t>
      </w:r>
      <w:r w:rsidRPr="00EF5221">
        <w:t>201</w:t>
      </w:r>
      <w:r w:rsidR="0020799E" w:rsidRPr="00EF5221">
        <w:t>8</w:t>
      </w:r>
      <w:r w:rsidRPr="00EF5221">
        <w:t>.</w:t>
      </w:r>
      <w:r w:rsidR="0020799E" w:rsidRPr="00EF5221">
        <w:rPr>
          <w:rStyle w:val="Voetnootmarkering"/>
        </w:rPr>
        <w:footnoteReference w:id="19"/>
      </w:r>
      <w:r w:rsidRPr="00EF5221">
        <w:t xml:space="preserve"> </w:t>
      </w:r>
      <w:r w:rsidR="0020799E" w:rsidRPr="00EF5221">
        <w:t xml:space="preserve">De instroom </w:t>
      </w:r>
      <w:r w:rsidR="007F4903" w:rsidRPr="00EF5221">
        <w:t xml:space="preserve">van deze vangnetgroep </w:t>
      </w:r>
      <w:r w:rsidR="0020799E" w:rsidRPr="00EF5221">
        <w:t xml:space="preserve">schommelt in deze periode </w:t>
      </w:r>
      <w:r w:rsidR="00A239BE" w:rsidRPr="00EF5221">
        <w:t>van</w:t>
      </w:r>
      <w:r w:rsidR="0020799E" w:rsidRPr="00EF5221">
        <w:t xml:space="preserve"> </w:t>
      </w:r>
      <w:r w:rsidR="00A239BE" w:rsidRPr="00EF5221">
        <w:t xml:space="preserve">73.600 in 2013 naar </w:t>
      </w:r>
      <w:r w:rsidR="0020799E" w:rsidRPr="00EF5221">
        <w:t>79.100</w:t>
      </w:r>
      <w:r w:rsidR="00A239BE" w:rsidRPr="00EF5221">
        <w:t xml:space="preserve"> in 2019. </w:t>
      </w:r>
      <w:r w:rsidR="0020799E" w:rsidRPr="00EF5221">
        <w:t xml:space="preserve">Ook nam de </w:t>
      </w:r>
      <w:r w:rsidRPr="00EF5221">
        <w:rPr>
          <w:rFonts w:cs="Calibri"/>
        </w:rPr>
        <w:t xml:space="preserve">verblijfsduur van </w:t>
      </w:r>
      <w:r w:rsidR="00A239BE" w:rsidRPr="00EF5221">
        <w:rPr>
          <w:rFonts w:cs="Calibri"/>
        </w:rPr>
        <w:t xml:space="preserve"> </w:t>
      </w:r>
      <w:r w:rsidR="00315FBE" w:rsidRPr="00EF5221">
        <w:rPr>
          <w:rFonts w:cs="Calibri"/>
        </w:rPr>
        <w:t xml:space="preserve">deze vangnetgroep </w:t>
      </w:r>
      <w:r w:rsidR="00EB3E82" w:rsidRPr="00EF5221">
        <w:rPr>
          <w:rFonts w:cs="Calibri"/>
        </w:rPr>
        <w:t xml:space="preserve">toe </w:t>
      </w:r>
      <w:r w:rsidR="00315FBE" w:rsidRPr="00EF5221">
        <w:rPr>
          <w:rFonts w:cs="Calibri"/>
        </w:rPr>
        <w:t xml:space="preserve">van twaalf </w:t>
      </w:r>
      <w:r w:rsidRPr="00EF5221">
        <w:rPr>
          <w:rFonts w:cs="Calibri"/>
        </w:rPr>
        <w:t xml:space="preserve">weken in 2013 </w:t>
      </w:r>
      <w:r w:rsidR="00315FBE" w:rsidRPr="00EF5221">
        <w:rPr>
          <w:rFonts w:cs="Calibri"/>
        </w:rPr>
        <w:t>naar dertien</w:t>
      </w:r>
      <w:r w:rsidRPr="00EF5221">
        <w:rPr>
          <w:rFonts w:cs="Calibri"/>
        </w:rPr>
        <w:t xml:space="preserve"> weken in 2019. </w:t>
      </w:r>
    </w:p>
    <w:p w14:paraId="5B8CBC12" w14:textId="77777777" w:rsidR="00A239BE" w:rsidRPr="00EF5221" w:rsidRDefault="00A239BE" w:rsidP="006D56E4">
      <w:pPr>
        <w:spacing w:line="276" w:lineRule="auto"/>
        <w:rPr>
          <w:rFonts w:cs="Calibri"/>
        </w:rPr>
      </w:pPr>
    </w:p>
    <w:p w14:paraId="65AED7A6" w14:textId="11D475B9" w:rsidR="006D56E4" w:rsidRPr="00EF5221" w:rsidRDefault="006D56E4" w:rsidP="006D56E4">
      <w:pPr>
        <w:spacing w:line="276" w:lineRule="auto"/>
        <w:rPr>
          <w:rFonts w:ascii="Times New Roman" w:hAnsi="Times New Roman" w:cs="Times New Roman"/>
          <w:color w:val="auto"/>
        </w:rPr>
      </w:pPr>
      <w:r w:rsidRPr="00EF5221">
        <w:t xml:space="preserve">Bij zieke </w:t>
      </w:r>
      <w:proofErr w:type="spellStart"/>
      <w:r w:rsidRPr="00EF5221">
        <w:t>zwangeren</w:t>
      </w:r>
      <w:proofErr w:type="spellEnd"/>
      <w:r w:rsidRPr="00EF5221">
        <w:t xml:space="preserve"> kan het onderscheid voor en na zwangerschapsverlof worden gemaakt. De meeste zieke </w:t>
      </w:r>
      <w:proofErr w:type="spellStart"/>
      <w:r w:rsidRPr="00EF5221">
        <w:t>zwangeren</w:t>
      </w:r>
      <w:proofErr w:type="spellEnd"/>
      <w:r w:rsidRPr="00EF5221">
        <w:t xml:space="preserve"> worden ziek voor hun zwangerschaps- en bevallingsverlof</w:t>
      </w:r>
      <w:r w:rsidR="00733969" w:rsidRPr="00EF5221">
        <w:t>.</w:t>
      </w:r>
      <w:r w:rsidR="00A239BE" w:rsidRPr="00EF5221">
        <w:t xml:space="preserve"> </w:t>
      </w:r>
      <w:r w:rsidR="00733969" w:rsidRPr="00EF5221">
        <w:t xml:space="preserve">Slechts 11 tot 14% van de zieke </w:t>
      </w:r>
      <w:proofErr w:type="spellStart"/>
      <w:r w:rsidR="00733969" w:rsidRPr="00EF5221">
        <w:t>zwangeren</w:t>
      </w:r>
      <w:proofErr w:type="spellEnd"/>
      <w:r w:rsidR="00733969" w:rsidRPr="00EF5221">
        <w:t xml:space="preserve"> stromen in de ZW na afloop van het bevallingsverlof. D</w:t>
      </w:r>
      <w:r w:rsidRPr="00EF5221">
        <w:t xml:space="preserve">e </w:t>
      </w:r>
      <w:proofErr w:type="spellStart"/>
      <w:r w:rsidRPr="00EF5221">
        <w:t>zwangeren</w:t>
      </w:r>
      <w:proofErr w:type="spellEnd"/>
      <w:r w:rsidRPr="00EF5221">
        <w:t xml:space="preserve"> die voor </w:t>
      </w:r>
      <w:r w:rsidR="00D70F1D" w:rsidRPr="00EF5221">
        <w:t xml:space="preserve">het </w:t>
      </w:r>
      <w:r w:rsidRPr="00EF5221">
        <w:t>zwangerschapsverlof z</w:t>
      </w:r>
      <w:r w:rsidR="00315FBE" w:rsidRPr="00EF5221">
        <w:t>iek worden verblijven ongeveer negen</w:t>
      </w:r>
      <w:r w:rsidRPr="00EF5221">
        <w:t xml:space="preserve"> weken in de ZW, terwijl zieke </w:t>
      </w:r>
      <w:proofErr w:type="spellStart"/>
      <w:r w:rsidRPr="00EF5221">
        <w:t>zwangeren</w:t>
      </w:r>
      <w:proofErr w:type="spellEnd"/>
      <w:r w:rsidRPr="00EF5221">
        <w:t xml:space="preserve"> die na de bevalling ziek worden gemiddeld 33 weken in de ZW</w:t>
      </w:r>
      <w:r w:rsidR="00D70F1D" w:rsidRPr="00EF5221">
        <w:t xml:space="preserve"> verblijven</w:t>
      </w:r>
      <w:r w:rsidRPr="00EF5221">
        <w:t xml:space="preserve">. </w:t>
      </w:r>
      <w:r w:rsidR="00D70F1D" w:rsidRPr="00EF5221">
        <w:t xml:space="preserve">De reden van de kortere verblijfsduur voor </w:t>
      </w:r>
      <w:proofErr w:type="spellStart"/>
      <w:r w:rsidR="00D70F1D" w:rsidRPr="00EF5221">
        <w:t>zwangeren</w:t>
      </w:r>
      <w:proofErr w:type="spellEnd"/>
      <w:r w:rsidR="00D70F1D" w:rsidRPr="00EF5221">
        <w:t xml:space="preserve"> die voor het zwangerschapsverlof in de ZW stromen is dat het</w:t>
      </w:r>
      <w:r w:rsidRPr="00EF5221">
        <w:t xml:space="preserve"> recht op een ZW-uitkering vervalt als de zwangerschapsverlofperiode in gaat</w:t>
      </w:r>
      <w:r w:rsidR="00D70F1D" w:rsidRPr="00EF5221">
        <w:t>. Zij ontvangen vanaf dan</w:t>
      </w:r>
      <w:r w:rsidRPr="00EF5221">
        <w:t xml:space="preserve"> een WAZO-uitkering. Het is dus geen uitstroom vanwege herstel.</w:t>
      </w:r>
    </w:p>
    <w:p w14:paraId="7F93F3A3" w14:textId="77777777" w:rsidR="006D56E4" w:rsidRPr="00EF5221" w:rsidRDefault="006D56E4" w:rsidP="006D56E4">
      <w:pPr>
        <w:spacing w:line="276" w:lineRule="auto"/>
      </w:pPr>
    </w:p>
    <w:p w14:paraId="69F6A97A" w14:textId="1A1501D8" w:rsidR="006D56E4" w:rsidRPr="00EF5221" w:rsidRDefault="006D56E4" w:rsidP="006D56E4">
      <w:pPr>
        <w:spacing w:line="276" w:lineRule="auto"/>
        <w:rPr>
          <w:rFonts w:ascii="Times New Roman" w:hAnsi="Times New Roman" w:cs="Times New Roman"/>
          <w:color w:val="auto"/>
        </w:rPr>
      </w:pPr>
      <w:r w:rsidRPr="00EF5221">
        <w:t xml:space="preserve">Door de langere verblijfsduur </w:t>
      </w:r>
      <w:r w:rsidR="00725638" w:rsidRPr="00EF5221">
        <w:t xml:space="preserve">en hogere instroom </w:t>
      </w:r>
      <w:r w:rsidRPr="00EF5221">
        <w:t xml:space="preserve">stijgt het aantal </w:t>
      </w:r>
      <w:proofErr w:type="spellStart"/>
      <w:r w:rsidRPr="00EF5221">
        <w:t>zwangeren</w:t>
      </w:r>
      <w:proofErr w:type="spellEnd"/>
      <w:r w:rsidRPr="00EF5221">
        <w:t xml:space="preserve"> in de ZW-populatie met 4.000 (ex-)</w:t>
      </w:r>
      <w:proofErr w:type="spellStart"/>
      <w:r w:rsidRPr="00EF5221">
        <w:t>zwangeren</w:t>
      </w:r>
      <w:proofErr w:type="spellEnd"/>
      <w:r w:rsidRPr="00EF5221">
        <w:t xml:space="preserve">, een stijging van 25%, tussen 2013-2019. Op dit moment bestaat er geen goed inzicht in de reden van de stijging van de instroom en de ziekteduur in deze groep. Uit de cijfers komt niet direct een oorzaak naar voren. </w:t>
      </w:r>
      <w:r w:rsidR="00D70F1D" w:rsidRPr="00EF5221">
        <w:t xml:space="preserve">Daarom laat ik UWV hier nader onderzoek naar doen. </w:t>
      </w:r>
    </w:p>
    <w:p w14:paraId="36D09180" w14:textId="77777777" w:rsidR="006D56E4" w:rsidRPr="00EF5221" w:rsidRDefault="006D56E4" w:rsidP="006D56E4">
      <w:pPr>
        <w:spacing w:line="276" w:lineRule="auto"/>
        <w:rPr>
          <w:highlight w:val="yellow"/>
        </w:rPr>
      </w:pPr>
    </w:p>
    <w:p w14:paraId="7A6AAFB7" w14:textId="456471A2" w:rsidR="006D56E4" w:rsidRPr="00EF5221" w:rsidRDefault="006D56E4" w:rsidP="006D56E4">
      <w:pPr>
        <w:rPr>
          <w:u w:val="single"/>
        </w:rPr>
      </w:pPr>
      <w:r w:rsidRPr="00EF5221">
        <w:rPr>
          <w:u w:val="single"/>
        </w:rPr>
        <w:t>2.</w:t>
      </w:r>
      <w:r w:rsidR="0035176B" w:rsidRPr="00EF5221">
        <w:rPr>
          <w:u w:val="single"/>
        </w:rPr>
        <w:t>3</w:t>
      </w:r>
      <w:r w:rsidRPr="00EF5221">
        <w:rPr>
          <w:u w:val="single"/>
        </w:rPr>
        <w:t>.6 Conjuncturele ontwikkelingen</w:t>
      </w:r>
    </w:p>
    <w:p w14:paraId="69E405F9" w14:textId="77777777" w:rsidR="006D56E4" w:rsidRPr="00EF5221" w:rsidRDefault="006D56E4" w:rsidP="006D56E4">
      <w:pPr>
        <w:pStyle w:val="Geenafstand"/>
        <w:spacing w:line="276" w:lineRule="auto"/>
        <w:rPr>
          <w:szCs w:val="18"/>
          <w:lang w:val="nl-NL"/>
        </w:rPr>
      </w:pPr>
      <w:r w:rsidRPr="00EF5221">
        <w:rPr>
          <w:szCs w:val="18"/>
          <w:lang w:val="nl-NL"/>
        </w:rPr>
        <w:lastRenderedPageBreak/>
        <w:t xml:space="preserve">Conjuncturele ontwikkelingen hebben geen eenduidig effect op de in- en uitstroom van ZW-gerechtigden, doordat er twee tegenovergestelde effecten optreden.  </w:t>
      </w:r>
    </w:p>
    <w:p w14:paraId="6BC62375" w14:textId="77777777" w:rsidR="006D56E4" w:rsidRPr="00EF5221" w:rsidRDefault="006D56E4" w:rsidP="006D56E4">
      <w:pPr>
        <w:pStyle w:val="Geenafstand"/>
        <w:spacing w:line="276" w:lineRule="auto"/>
        <w:rPr>
          <w:szCs w:val="18"/>
          <w:lang w:val="nl-NL"/>
        </w:rPr>
      </w:pPr>
    </w:p>
    <w:p w14:paraId="2B4B1EF7" w14:textId="047DCBA3" w:rsidR="006D56E4" w:rsidRPr="00EF5221" w:rsidRDefault="006D56E4" w:rsidP="006D56E4">
      <w:pPr>
        <w:pStyle w:val="Geenafstand"/>
        <w:spacing w:line="276" w:lineRule="auto"/>
        <w:rPr>
          <w:szCs w:val="18"/>
          <w:lang w:val="nl-NL"/>
        </w:rPr>
      </w:pPr>
      <w:r w:rsidRPr="00EF5221">
        <w:rPr>
          <w:szCs w:val="18"/>
          <w:lang w:val="nl-NL"/>
        </w:rPr>
        <w:t xml:space="preserve">Bij een groeiende economie neemt de vraag naar uitzendkrachten toe en neemt de groep werknemers die potentieel kunnen instromen bij de vangnetgroep uitzendkracht of </w:t>
      </w:r>
      <w:proofErr w:type="spellStart"/>
      <w:r w:rsidRPr="00EF5221">
        <w:rPr>
          <w:szCs w:val="18"/>
          <w:lang w:val="nl-NL"/>
        </w:rPr>
        <w:t>eindedienstverbanders</w:t>
      </w:r>
      <w:proofErr w:type="spellEnd"/>
      <w:r w:rsidRPr="00EF5221">
        <w:rPr>
          <w:szCs w:val="18"/>
          <w:lang w:val="nl-NL"/>
        </w:rPr>
        <w:t xml:space="preserve"> (de uitzendkrachten zonder uitzendbeding)</w:t>
      </w:r>
      <w:r w:rsidR="00D70F1D" w:rsidRPr="00EF5221">
        <w:rPr>
          <w:szCs w:val="18"/>
          <w:lang w:val="nl-NL"/>
        </w:rPr>
        <w:t xml:space="preserve"> toe</w:t>
      </w:r>
      <w:r w:rsidRPr="00EF5221">
        <w:rPr>
          <w:szCs w:val="18"/>
          <w:lang w:val="nl-NL"/>
        </w:rPr>
        <w:t xml:space="preserve">. Daarentegen neemt het aantal WW-gerechtigden af en gaan </w:t>
      </w:r>
      <w:r w:rsidR="00D70F1D" w:rsidRPr="00EF5221">
        <w:rPr>
          <w:szCs w:val="18"/>
          <w:lang w:val="nl-NL"/>
        </w:rPr>
        <w:t xml:space="preserve">er </w:t>
      </w:r>
      <w:r w:rsidRPr="00EF5221">
        <w:rPr>
          <w:szCs w:val="18"/>
          <w:lang w:val="nl-NL"/>
        </w:rPr>
        <w:t xml:space="preserve">minder bedrijven failliet bij een hoog conjunctuur. Dit heeft als gevolg dat het aantal WW-gerechtigden en </w:t>
      </w:r>
      <w:proofErr w:type="spellStart"/>
      <w:r w:rsidRPr="00EF5221">
        <w:rPr>
          <w:szCs w:val="18"/>
          <w:lang w:val="nl-NL"/>
        </w:rPr>
        <w:t>eindedienstverbanders</w:t>
      </w:r>
      <w:proofErr w:type="spellEnd"/>
      <w:r w:rsidRPr="00EF5221">
        <w:rPr>
          <w:szCs w:val="18"/>
          <w:lang w:val="nl-NL"/>
        </w:rPr>
        <w:t xml:space="preserve"> (mensen waarvan het contract afloopt tijdens de ziekteperiode) die potentieel in de Ziektewet kunnen komen afneemt. </w:t>
      </w:r>
    </w:p>
    <w:p w14:paraId="7BEFAD16" w14:textId="77777777" w:rsidR="006D56E4" w:rsidRPr="00EF5221" w:rsidRDefault="006D56E4" w:rsidP="006D56E4">
      <w:pPr>
        <w:pStyle w:val="Geenafstand"/>
        <w:spacing w:line="276" w:lineRule="auto"/>
        <w:rPr>
          <w:szCs w:val="18"/>
          <w:lang w:val="nl-NL"/>
        </w:rPr>
      </w:pPr>
    </w:p>
    <w:p w14:paraId="34D03082" w14:textId="621A36A2" w:rsidR="006D56E4" w:rsidRPr="00EF5221" w:rsidRDefault="006D56E4" w:rsidP="006D56E4">
      <w:pPr>
        <w:pStyle w:val="Geenafstand"/>
        <w:spacing w:line="276" w:lineRule="auto"/>
        <w:rPr>
          <w:szCs w:val="18"/>
          <w:lang w:val="nl-NL"/>
        </w:rPr>
      </w:pPr>
      <w:r w:rsidRPr="00EF5221">
        <w:rPr>
          <w:szCs w:val="18"/>
          <w:lang w:val="nl-NL"/>
        </w:rPr>
        <w:t xml:space="preserve">Welk effect de overhand heeft is niet te kwantificeren. Het is niet uit te sluiten dat de economische groei in de periode </w:t>
      </w:r>
      <w:r w:rsidR="00D70F1D" w:rsidRPr="00EF5221">
        <w:rPr>
          <w:szCs w:val="18"/>
          <w:lang w:val="nl-NL"/>
        </w:rPr>
        <w:t xml:space="preserve">van </w:t>
      </w:r>
      <w:r w:rsidRPr="00EF5221">
        <w:rPr>
          <w:szCs w:val="18"/>
          <w:lang w:val="nl-NL"/>
        </w:rPr>
        <w:t>2013</w:t>
      </w:r>
      <w:r w:rsidR="00D70F1D" w:rsidRPr="00EF5221">
        <w:rPr>
          <w:szCs w:val="18"/>
          <w:lang w:val="nl-NL"/>
        </w:rPr>
        <w:t xml:space="preserve"> tot en met </w:t>
      </w:r>
      <w:r w:rsidRPr="00EF5221">
        <w:rPr>
          <w:szCs w:val="18"/>
          <w:lang w:val="nl-NL"/>
        </w:rPr>
        <w:t>2019 heeft bijgedragen aan de stijging van de publieke ZW-lasten.</w:t>
      </w:r>
    </w:p>
    <w:p w14:paraId="31E1CD75" w14:textId="77777777" w:rsidR="006D56E4" w:rsidRPr="00EF5221" w:rsidRDefault="006D56E4" w:rsidP="006D56E4">
      <w:pPr>
        <w:pStyle w:val="Geenafstand"/>
        <w:spacing w:line="276" w:lineRule="auto"/>
        <w:ind w:left="426" w:hanging="426"/>
        <w:rPr>
          <w:szCs w:val="18"/>
          <w:lang w:val="nl-NL"/>
        </w:rPr>
      </w:pPr>
    </w:p>
    <w:p w14:paraId="3E93E05D" w14:textId="385C0EAA" w:rsidR="006D56E4" w:rsidRPr="00EF5221" w:rsidRDefault="006D56E4" w:rsidP="006D56E4">
      <w:pPr>
        <w:spacing w:line="276" w:lineRule="auto"/>
        <w:rPr>
          <w:b/>
          <w:u w:val="single"/>
        </w:rPr>
      </w:pPr>
      <w:r w:rsidRPr="00EF5221">
        <w:rPr>
          <w:b/>
          <w:u w:val="single"/>
        </w:rPr>
        <w:t>2.</w:t>
      </w:r>
      <w:r w:rsidR="0035176B" w:rsidRPr="00EF5221">
        <w:rPr>
          <w:b/>
          <w:u w:val="single"/>
        </w:rPr>
        <w:t>4</w:t>
      </w:r>
      <w:r w:rsidRPr="00EF5221">
        <w:rPr>
          <w:b/>
          <w:u w:val="single"/>
        </w:rPr>
        <w:t xml:space="preserve"> Conclusie ZW</w:t>
      </w:r>
    </w:p>
    <w:p w14:paraId="4A1327FA" w14:textId="79BEA995" w:rsidR="006D56E4" w:rsidRPr="00EF5221" w:rsidRDefault="006D56E4" w:rsidP="006D56E4">
      <w:pPr>
        <w:spacing w:line="276" w:lineRule="auto"/>
      </w:pPr>
      <w:r w:rsidRPr="00EF5221">
        <w:t>Op basis van de onderzochte ontwikkelingen is de toename van het beroep op de ZW kwalitatief verklaarbaar</w:t>
      </w:r>
      <w:r w:rsidR="003D6F2B" w:rsidRPr="00EF5221">
        <w:t xml:space="preserve"> d</w:t>
      </w:r>
      <w:r w:rsidRPr="00EF5221">
        <w:t>oor verschuivingen van priva</w:t>
      </w:r>
      <w:r w:rsidR="003D6F2B" w:rsidRPr="00EF5221">
        <w:t>te</w:t>
      </w:r>
      <w:r w:rsidRPr="00EF5221">
        <w:t xml:space="preserve"> </w:t>
      </w:r>
      <w:r w:rsidR="0096561E" w:rsidRPr="00EF5221">
        <w:t xml:space="preserve">naar het </w:t>
      </w:r>
      <w:proofErr w:type="spellStart"/>
      <w:r w:rsidRPr="00EF5221">
        <w:t>eigenrisicodragerschap</w:t>
      </w:r>
      <w:proofErr w:type="spellEnd"/>
      <w:r w:rsidR="0096561E" w:rsidRPr="00EF5221">
        <w:t xml:space="preserve"> en </w:t>
      </w:r>
      <w:proofErr w:type="spellStart"/>
      <w:r w:rsidR="0096561E" w:rsidRPr="00EF5221">
        <w:t>vice</w:t>
      </w:r>
      <w:proofErr w:type="spellEnd"/>
      <w:r w:rsidR="0096561E" w:rsidRPr="00EF5221">
        <w:t xml:space="preserve"> versa</w:t>
      </w:r>
      <w:r w:rsidRPr="00EF5221">
        <w:t>, flexibilisering van de arbeidsmarkt, het toegenomen aantal werkenden en de uitbreiding van de doelgroep van de no-riskpolis</w:t>
      </w:r>
      <w:r w:rsidR="003D6F2B" w:rsidRPr="00EF5221">
        <w:t>. Hierdoor</w:t>
      </w:r>
      <w:r w:rsidRPr="00EF5221">
        <w:t xml:space="preserve"> vallen meer mensen dan voorheen onder de publieke ZW. De stijgende instroom van de no-</w:t>
      </w:r>
      <w:proofErr w:type="spellStart"/>
      <w:r w:rsidRPr="00EF5221">
        <w:t>riskpolisgroep</w:t>
      </w:r>
      <w:proofErr w:type="spellEnd"/>
      <w:r w:rsidRPr="00EF5221">
        <w:t xml:space="preserve"> is in lijn met de </w:t>
      </w:r>
      <w:r w:rsidR="003D6F2B" w:rsidRPr="00EF5221">
        <w:t xml:space="preserve">verwachting ten tijde van de </w:t>
      </w:r>
      <w:r w:rsidRPr="00EF5221">
        <w:t>uitbreiding van de no-</w:t>
      </w:r>
      <w:proofErr w:type="spellStart"/>
      <w:r w:rsidRPr="00EF5221">
        <w:t>riskpolispopulatie</w:t>
      </w:r>
      <w:proofErr w:type="spellEnd"/>
      <w:r w:rsidRPr="00EF5221">
        <w:t>. Wel zijn er een aantal ontwikkeling</w:t>
      </w:r>
      <w:r w:rsidR="00E85BE1" w:rsidRPr="00EF5221">
        <w:t xml:space="preserve">en die nadere aandacht vragen. </w:t>
      </w:r>
    </w:p>
    <w:p w14:paraId="5BF173A4" w14:textId="77777777" w:rsidR="006D56E4" w:rsidRPr="00EF5221" w:rsidRDefault="006D56E4" w:rsidP="006D56E4">
      <w:pPr>
        <w:spacing w:line="276" w:lineRule="auto"/>
        <w:rPr>
          <w:color w:val="auto"/>
          <w:szCs w:val="22"/>
          <w:highlight w:val="yellow"/>
        </w:rPr>
      </w:pPr>
    </w:p>
    <w:p w14:paraId="58EE41E7" w14:textId="77777777" w:rsidR="006D56E4" w:rsidRPr="00EF5221" w:rsidRDefault="006D56E4" w:rsidP="006D56E4">
      <w:pPr>
        <w:spacing w:line="276" w:lineRule="auto"/>
        <w:rPr>
          <w:i/>
          <w:color w:val="auto"/>
          <w:szCs w:val="22"/>
        </w:rPr>
      </w:pPr>
      <w:r w:rsidRPr="00EF5221">
        <w:rPr>
          <w:i/>
          <w:color w:val="auto"/>
          <w:szCs w:val="22"/>
        </w:rPr>
        <w:t>Ontwikkelingen op de hybride markt</w:t>
      </w:r>
    </w:p>
    <w:p w14:paraId="47632744" w14:textId="16EF1E99" w:rsidR="006D56E4" w:rsidRPr="00EF5221" w:rsidRDefault="006D56E4" w:rsidP="006D56E4">
      <w:pPr>
        <w:spacing w:line="276" w:lineRule="auto"/>
      </w:pPr>
      <w:r w:rsidRPr="00EF5221">
        <w:t>Het verslechteren van het risicoprofiel van publiek verzekerde werkgevers op zichzelf is geen reden tot zorg. Gegeven het gekozen financieringsstelsel is dit een erkend risico. De uittreding van goede risico’s was al voorzien ten tijde van de invoering van een hybride stelsel voor de Ziektewet.</w:t>
      </w:r>
      <w:r w:rsidRPr="00EF5221">
        <w:rPr>
          <w:rStyle w:val="Voetnootmarkering"/>
        </w:rPr>
        <w:footnoteReference w:id="20"/>
      </w:r>
      <w:r w:rsidRPr="00EF5221">
        <w:t xml:space="preserve"> Ik houd de jaarlijkse bewegingen in de hybride markt nauwlettend in de gaten. </w:t>
      </w:r>
    </w:p>
    <w:p w14:paraId="41E62835" w14:textId="77777777" w:rsidR="006D56E4" w:rsidRPr="00EF5221" w:rsidRDefault="006D56E4" w:rsidP="006D56E4">
      <w:pPr>
        <w:spacing w:line="276" w:lineRule="auto"/>
      </w:pPr>
    </w:p>
    <w:p w14:paraId="35A13E30" w14:textId="77777777" w:rsidR="006D56E4" w:rsidRPr="00EF5221" w:rsidRDefault="006D56E4" w:rsidP="006D56E4">
      <w:pPr>
        <w:spacing w:line="276" w:lineRule="auto"/>
        <w:rPr>
          <w:i/>
        </w:rPr>
      </w:pPr>
      <w:r w:rsidRPr="00EF5221">
        <w:rPr>
          <w:i/>
        </w:rPr>
        <w:t xml:space="preserve">Hogere instroom en stijgende verblijfsduur bij de vangnetgroep </w:t>
      </w:r>
      <w:proofErr w:type="spellStart"/>
      <w:r w:rsidRPr="00EF5221">
        <w:rPr>
          <w:i/>
        </w:rPr>
        <w:t>zwangeren</w:t>
      </w:r>
      <w:proofErr w:type="spellEnd"/>
    </w:p>
    <w:p w14:paraId="05DB957A" w14:textId="0BC42B81" w:rsidR="006D56E4" w:rsidRPr="00EF5221" w:rsidRDefault="006D56E4" w:rsidP="006D56E4">
      <w:pPr>
        <w:spacing w:line="276" w:lineRule="auto"/>
      </w:pPr>
      <w:r w:rsidRPr="00EF5221">
        <w:t>Opvallend is de</w:t>
      </w:r>
      <w:r w:rsidR="003D6F2B" w:rsidRPr="00EF5221">
        <w:t xml:space="preserve"> hogere instroom en de</w:t>
      </w:r>
      <w:r w:rsidRPr="00EF5221">
        <w:t xml:space="preserve"> langere verblijfsduur van zieke </w:t>
      </w:r>
      <w:proofErr w:type="spellStart"/>
      <w:r w:rsidRPr="00EF5221">
        <w:t>zwangeren</w:t>
      </w:r>
      <w:proofErr w:type="spellEnd"/>
      <w:r w:rsidRPr="00EF5221">
        <w:t xml:space="preserve"> in de ZW</w:t>
      </w:r>
      <w:r w:rsidR="00845BEA" w:rsidRPr="00EF5221">
        <w:t xml:space="preserve"> waardoor het aantal zieke </w:t>
      </w:r>
      <w:proofErr w:type="spellStart"/>
      <w:r w:rsidR="00845BEA" w:rsidRPr="00EF5221">
        <w:t>zwangeren</w:t>
      </w:r>
      <w:proofErr w:type="spellEnd"/>
      <w:r w:rsidR="00845BEA" w:rsidRPr="00EF5221">
        <w:t xml:space="preserve"> in de ZW-populatie toeneemt</w:t>
      </w:r>
      <w:r w:rsidRPr="00EF5221">
        <w:t xml:space="preserve">. Op dit moment bestaat er geen goed inzicht in de reden van de stijging van de instroom en de ziekteduur bij zieke </w:t>
      </w:r>
      <w:proofErr w:type="spellStart"/>
      <w:r w:rsidRPr="00EF5221">
        <w:t>zwangeren</w:t>
      </w:r>
      <w:proofErr w:type="spellEnd"/>
      <w:r w:rsidRPr="00EF5221">
        <w:t xml:space="preserve">. Uit de cijfers komt niet direct een oorzaak naar voren. Ik laat UWV hier nader onderzoek naar doen en zal uw Kamer informeren over de uitkomsten hiervan. </w:t>
      </w:r>
    </w:p>
    <w:p w14:paraId="54021B39" w14:textId="77777777" w:rsidR="006D56E4" w:rsidRPr="00EF5221" w:rsidRDefault="006D56E4" w:rsidP="006D56E4">
      <w:pPr>
        <w:spacing w:line="276" w:lineRule="auto"/>
      </w:pPr>
    </w:p>
    <w:p w14:paraId="6FDB327F" w14:textId="77777777" w:rsidR="006D56E4" w:rsidRPr="00EF5221" w:rsidRDefault="006D56E4" w:rsidP="006D56E4">
      <w:pPr>
        <w:spacing w:line="276" w:lineRule="auto"/>
        <w:rPr>
          <w:i/>
        </w:rPr>
      </w:pPr>
      <w:r w:rsidRPr="00EF5221">
        <w:rPr>
          <w:i/>
        </w:rPr>
        <w:t>Stijgende verblijfsduur WW-gerechtigden en hogere instroomkans bij einde WW-uitkering</w:t>
      </w:r>
    </w:p>
    <w:p w14:paraId="472D1557" w14:textId="77777777" w:rsidR="006D56E4" w:rsidRPr="00EF5221" w:rsidRDefault="006D56E4" w:rsidP="006D56E4">
      <w:pPr>
        <w:pStyle w:val="Geenafstand"/>
        <w:spacing w:line="276" w:lineRule="auto"/>
        <w:rPr>
          <w:rFonts w:cs="Calibri"/>
          <w:szCs w:val="18"/>
          <w:lang w:val="nl-NL"/>
        </w:rPr>
      </w:pPr>
      <w:r w:rsidRPr="00EF5221">
        <w:rPr>
          <w:lang w:val="nl-NL"/>
        </w:rPr>
        <w:t xml:space="preserve">Ook stijgt de verblijfsduur van WW-gerechtigden in de ZW. De instroomkans van WW-gerechtigden lijkt samen te hangen met het bereiken van de maximum uitkeringsduur. </w:t>
      </w:r>
      <w:r w:rsidRPr="00EF5221">
        <w:rPr>
          <w:szCs w:val="18"/>
          <w:lang w:val="nl-NL"/>
        </w:rPr>
        <w:t xml:space="preserve">Een mogelijke verklaring is dat het financiële belang van behoud van een uitkering een rol speelt in de afweging om zich ziek dan wel beter te melden. Echter, het verlies van werk kan impact hebben op </w:t>
      </w:r>
      <w:r w:rsidRPr="00EF5221">
        <w:rPr>
          <w:rFonts w:cs="Calibri"/>
          <w:szCs w:val="18"/>
          <w:lang w:val="nl-NL"/>
        </w:rPr>
        <w:t xml:space="preserve">fysieke en mentale gezondheid. </w:t>
      </w:r>
    </w:p>
    <w:p w14:paraId="27989754" w14:textId="77777777" w:rsidR="006D56E4" w:rsidRPr="00EF5221" w:rsidRDefault="006D56E4" w:rsidP="006D56E4">
      <w:pPr>
        <w:pStyle w:val="Geenafstand"/>
        <w:spacing w:line="276" w:lineRule="auto"/>
        <w:rPr>
          <w:rFonts w:cs="Arial"/>
          <w:lang w:val="nl-NL"/>
        </w:rPr>
      </w:pPr>
    </w:p>
    <w:p w14:paraId="23F23A7F" w14:textId="075897D6" w:rsidR="006D56E4" w:rsidRPr="00EF5221" w:rsidRDefault="006D56E4" w:rsidP="006D56E4">
      <w:pPr>
        <w:spacing w:line="276" w:lineRule="auto"/>
        <w:rPr>
          <w:rFonts w:cs="Arial"/>
        </w:rPr>
      </w:pPr>
      <w:r w:rsidRPr="00EF5221">
        <w:t xml:space="preserve">UWV is zich bewust van het risico dat verzekerden </w:t>
      </w:r>
      <w:r w:rsidRPr="00EF5221">
        <w:rPr>
          <w:rFonts w:cs="Arial"/>
        </w:rPr>
        <w:t>zich ten onrechte ziekmelden dan wel ten onrechte niet beter meld</w:t>
      </w:r>
      <w:r w:rsidR="001C6D8C" w:rsidRPr="00EF5221">
        <w:rPr>
          <w:rFonts w:cs="Arial"/>
        </w:rPr>
        <w:t>en</w:t>
      </w:r>
      <w:r w:rsidRPr="00EF5221">
        <w:rPr>
          <w:rFonts w:cs="Arial"/>
        </w:rPr>
        <w:t xml:space="preserve"> vanuit de WW, waardoor de betrokkene een ZW-uitkering ontvangt (en de WW-uitkering ten onrechte eventueel wordt opgeschort/opgeschoven) om zodoende de totale uitkeringsduur te verlengen. UWV is dan ook zeer alert op dergelijke ziekmeldingen. </w:t>
      </w:r>
    </w:p>
    <w:p w14:paraId="1671157F" w14:textId="23806AD5" w:rsidR="005340A9" w:rsidRPr="00EF5221" w:rsidRDefault="005340A9" w:rsidP="006D56E4">
      <w:pPr>
        <w:spacing w:line="276" w:lineRule="auto"/>
        <w:rPr>
          <w:rFonts w:cs="Arial"/>
        </w:rPr>
      </w:pPr>
    </w:p>
    <w:p w14:paraId="3B9AA474" w14:textId="0AEC94F2" w:rsidR="005340A9" w:rsidRPr="00EF5221" w:rsidRDefault="005340A9" w:rsidP="005340A9">
      <w:pPr>
        <w:spacing w:line="276" w:lineRule="auto"/>
        <w:rPr>
          <w:color w:val="auto"/>
        </w:rPr>
      </w:pPr>
      <w:r w:rsidRPr="00EF5221">
        <w:t>In het onderzoek naar misbruikrisico’s in de ZW, dat KPMG in de zomer van 2020 heeft verricht, is dit risico eveneens onderkend. In de decemberbrief over de stand van de uitvoering wordt hier nader op ingegaan. Op dit moment maakt UWV, met betrokkenheid van SZW, een analyse van de misbruikrisico’s in de ZW die door KMPG in beeld zijn gebracht, waaronder dit risico. Daarbij wordt ook ingegaan op de beheersmaatregelen die UWV daar nu al op inzet, waardoor onterechte ziekmeldingen vanuit de WW worden aangepakt. Dit is naar verwachting afgerond voor het voorjaar van 2021. Naar aanleiding hiervan zullen gesprekken plaatsvinden tussen UWV en SZW in hoeverre het wenselijk en noodzakelijk is om aanvullende beheersmaatregelen te nemen bovenop de al ingezette maatregelen.</w:t>
      </w:r>
    </w:p>
    <w:p w14:paraId="44FBBE4D" w14:textId="7750E078" w:rsidR="006D56E4" w:rsidRPr="00EF5221" w:rsidRDefault="006D56E4" w:rsidP="006D56E4">
      <w:pPr>
        <w:spacing w:line="276" w:lineRule="auto"/>
      </w:pPr>
    </w:p>
    <w:p w14:paraId="09CEFD07" w14:textId="0E51A82B" w:rsidR="005340A9" w:rsidRPr="00EF5221" w:rsidRDefault="00DD24A4" w:rsidP="005340A9">
      <w:pPr>
        <w:spacing w:line="276" w:lineRule="auto"/>
        <w:rPr>
          <w:rFonts w:ascii="Calibri" w:hAnsi="Calibri"/>
          <w:color w:val="auto"/>
          <w:sz w:val="22"/>
          <w:szCs w:val="22"/>
        </w:rPr>
      </w:pPr>
      <w:r>
        <w:t>Evenals voor de WIA geeft</w:t>
      </w:r>
      <w:r w:rsidR="00E37CBE" w:rsidRPr="00EF5221">
        <w:t xml:space="preserve"> </w:t>
      </w:r>
      <w:r w:rsidR="005340A9" w:rsidRPr="00EF5221">
        <w:t>de ombuigings</w:t>
      </w:r>
      <w:r w:rsidR="001C6D8C" w:rsidRPr="00EF5221">
        <w:t xml:space="preserve">- en intensiveringslijst </w:t>
      </w:r>
      <w:r w:rsidR="00E37CBE" w:rsidRPr="00EF5221">
        <w:t>van het M</w:t>
      </w:r>
      <w:r w:rsidR="005340A9" w:rsidRPr="00EF5221">
        <w:t>inisterie van Financiën</w:t>
      </w:r>
      <w:r w:rsidR="00DC1A44" w:rsidRPr="00EF5221">
        <w:t xml:space="preserve"> en het IBO “Geschikt voor de arbeidsmarkt”</w:t>
      </w:r>
      <w:r>
        <w:t xml:space="preserve"> voor de ZW een beeld van de mogelijkheden om de uitgaven te verminderen</w:t>
      </w:r>
      <w:r w:rsidR="005340A9" w:rsidRPr="00EF5221">
        <w:t>.</w:t>
      </w:r>
      <w:r w:rsidR="005340A9" w:rsidRPr="00EF5221">
        <w:rPr>
          <w:rStyle w:val="Voetnootmarkering"/>
        </w:rPr>
        <w:footnoteReference w:id="21"/>
      </w:r>
    </w:p>
    <w:p w14:paraId="13002DC7" w14:textId="77777777" w:rsidR="005340A9" w:rsidRPr="00EF5221" w:rsidRDefault="005340A9" w:rsidP="006D56E4">
      <w:pPr>
        <w:spacing w:line="276" w:lineRule="auto"/>
      </w:pPr>
    </w:p>
    <w:p w14:paraId="08C07162" w14:textId="77777777" w:rsidR="006D56E4" w:rsidRPr="00EF5221" w:rsidRDefault="006D56E4" w:rsidP="006D56E4">
      <w:pPr>
        <w:spacing w:line="276" w:lineRule="auto"/>
      </w:pPr>
      <w:r w:rsidRPr="00EF5221">
        <w:t xml:space="preserve">de Minister van Sociale Zaken </w:t>
      </w:r>
      <w:r w:rsidRPr="00EF5221">
        <w:br/>
        <w:t>en Werkgelegenheid,</w:t>
      </w:r>
    </w:p>
    <w:p w14:paraId="59CA752C" w14:textId="77777777" w:rsidR="006D56E4" w:rsidRPr="00EF5221" w:rsidRDefault="006D56E4" w:rsidP="006D56E4">
      <w:pPr>
        <w:spacing w:line="276" w:lineRule="auto"/>
      </w:pPr>
    </w:p>
    <w:p w14:paraId="46FDF825" w14:textId="77777777" w:rsidR="006D56E4" w:rsidRPr="00EF5221" w:rsidRDefault="006D56E4" w:rsidP="006D56E4">
      <w:pPr>
        <w:spacing w:line="276" w:lineRule="auto"/>
      </w:pPr>
    </w:p>
    <w:p w14:paraId="18257125" w14:textId="77777777" w:rsidR="006D56E4" w:rsidRPr="00EF5221" w:rsidRDefault="006D56E4" w:rsidP="006D56E4">
      <w:pPr>
        <w:spacing w:line="276" w:lineRule="auto"/>
      </w:pPr>
    </w:p>
    <w:p w14:paraId="6F7259C7" w14:textId="77777777" w:rsidR="006D56E4" w:rsidRPr="00EF5221" w:rsidRDefault="006D56E4" w:rsidP="006D56E4">
      <w:pPr>
        <w:spacing w:line="276" w:lineRule="auto"/>
      </w:pPr>
    </w:p>
    <w:p w14:paraId="10EB101F" w14:textId="77777777" w:rsidR="006D56E4" w:rsidRPr="00EF5221" w:rsidRDefault="006D56E4" w:rsidP="006D56E4">
      <w:pPr>
        <w:spacing w:line="276" w:lineRule="auto"/>
      </w:pPr>
      <w:r w:rsidRPr="00EF5221">
        <w:t>W. Koolmees</w:t>
      </w:r>
    </w:p>
    <w:p w14:paraId="23512A06" w14:textId="51809A57" w:rsidR="003F5FE8" w:rsidRPr="00EF5221" w:rsidRDefault="003F5FE8" w:rsidP="006B3BD4">
      <w:pPr>
        <w:spacing w:line="276" w:lineRule="auto"/>
      </w:pPr>
    </w:p>
    <w:sectPr w:rsidR="003F5FE8" w:rsidRPr="00EF5221">
      <w:headerReference w:type="even" r:id="rId14"/>
      <w:headerReference w:type="default" r:id="rId15"/>
      <w:footerReference w:type="even" r:id="rId16"/>
      <w:footerReference w:type="default" r:id="rId17"/>
      <w:headerReference w:type="first" r:id="rId18"/>
      <w:footerReference w:type="first" r:id="rId19"/>
      <w:pgSz w:w="11905" w:h="16837"/>
      <w:pgMar w:top="2948" w:right="2777" w:bottom="1020" w:left="1587" w:header="0" w:footer="0" w:gutter="0"/>
      <w:paperSrc w:first="9262" w:other="914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30DE2" w14:textId="77777777" w:rsidR="00C4736D" w:rsidRDefault="00C4736D">
      <w:pPr>
        <w:spacing w:line="240" w:lineRule="auto"/>
      </w:pPr>
      <w:r>
        <w:separator/>
      </w:r>
    </w:p>
  </w:endnote>
  <w:endnote w:type="continuationSeparator" w:id="0">
    <w:p w14:paraId="56421FDA" w14:textId="77777777" w:rsidR="00C4736D" w:rsidRDefault="00C47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swiss"/>
    <w:pitch w:val="variable"/>
    <w:sig w:usb0="E7002EFF" w:usb1="D200FDFF" w:usb2="0A246029" w:usb3="00000000" w:csb0="000001F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KIX Barcode">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jksoverheidSerif">
    <w:altName w:val="RijksoverheidSerif"/>
    <w:charset w:val="00"/>
    <w:family w:val="auto"/>
    <w:pitch w:val="variable"/>
    <w:sig w:usb0="A00000AF" w:usb1="4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6B2F" w14:textId="77777777" w:rsidR="00C712F4" w:rsidRDefault="00C712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D8C7" w14:textId="77777777" w:rsidR="00C712F4" w:rsidRDefault="00C712F4">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00FC" w14:textId="77777777" w:rsidR="00C712F4" w:rsidRDefault="00C712F4">
    <w:pPr>
      <w:pStyle w:val="MarginlessContain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35688" w14:textId="77777777" w:rsidR="00C4736D" w:rsidRDefault="00C4736D">
      <w:pPr>
        <w:spacing w:line="240" w:lineRule="auto"/>
      </w:pPr>
      <w:r>
        <w:separator/>
      </w:r>
    </w:p>
  </w:footnote>
  <w:footnote w:type="continuationSeparator" w:id="0">
    <w:p w14:paraId="5F603CD8" w14:textId="77777777" w:rsidR="00C4736D" w:rsidRDefault="00C4736D">
      <w:pPr>
        <w:spacing w:line="240" w:lineRule="auto"/>
      </w:pPr>
      <w:r>
        <w:continuationSeparator/>
      </w:r>
    </w:p>
  </w:footnote>
  <w:footnote w:id="1">
    <w:p w14:paraId="41A6A954" w14:textId="77777777" w:rsidR="00C712F4" w:rsidRDefault="00C712F4" w:rsidP="006D56E4">
      <w:pPr>
        <w:pStyle w:val="Voetnoottekst"/>
        <w:rPr>
          <w:lang w:val="nl-NL"/>
        </w:rPr>
      </w:pPr>
      <w:r>
        <w:rPr>
          <w:rStyle w:val="Voetnootmarkering"/>
          <w:sz w:val="16"/>
          <w:lang w:val="nl-NL"/>
        </w:rPr>
        <w:footnoteRef/>
      </w:r>
      <w:r>
        <w:rPr>
          <w:sz w:val="16"/>
          <w:lang w:val="nl-NL"/>
        </w:rPr>
        <w:t xml:space="preserve"> Kamerstukken II, 2019/20, 29544, nr. 979.</w:t>
      </w:r>
    </w:p>
  </w:footnote>
  <w:footnote w:id="2">
    <w:p w14:paraId="31BADBBA" w14:textId="77777777" w:rsidR="00C712F4" w:rsidRDefault="00C712F4" w:rsidP="006D56E4">
      <w:pPr>
        <w:pStyle w:val="Voetnoottekst"/>
        <w:rPr>
          <w:lang w:val="nl-NL"/>
        </w:rPr>
      </w:pPr>
      <w:r>
        <w:rPr>
          <w:rStyle w:val="Voetnootmarkering"/>
          <w:sz w:val="16"/>
        </w:rPr>
        <w:footnoteRef/>
      </w:r>
      <w:r>
        <w:rPr>
          <w:sz w:val="16"/>
        </w:rPr>
        <w:t xml:space="preserve"> </w:t>
      </w:r>
      <w:r>
        <w:rPr>
          <w:sz w:val="16"/>
          <w:lang w:val="nl-NL"/>
        </w:rPr>
        <w:t>Kamerstukken II, 2019/20, 29544, nr. 1017.</w:t>
      </w:r>
    </w:p>
  </w:footnote>
  <w:footnote w:id="3">
    <w:p w14:paraId="6991B0AF" w14:textId="77777777" w:rsidR="00C712F4" w:rsidRDefault="00C712F4" w:rsidP="00696A3D">
      <w:pPr>
        <w:pStyle w:val="Voetnoottekst"/>
        <w:rPr>
          <w:rFonts w:cs="Calibri"/>
          <w:lang w:val="nl-NL"/>
        </w:rPr>
      </w:pPr>
      <w:r>
        <w:rPr>
          <w:rStyle w:val="Voetnootmarkering"/>
          <w:sz w:val="16"/>
          <w:lang w:val="nl-NL"/>
        </w:rPr>
        <w:footnoteRef/>
      </w:r>
      <w:r>
        <w:rPr>
          <w:sz w:val="16"/>
          <w:lang w:val="nl-NL"/>
        </w:rPr>
        <w:t xml:space="preserve"> Cijfers in 2019 betreffen voorlopige cijfers. Dit geldt voor alle data voor 2019 afkomstig uit de kwantitatieve informatie van het UWV.</w:t>
      </w:r>
    </w:p>
  </w:footnote>
  <w:footnote w:id="4">
    <w:p w14:paraId="15341732" w14:textId="77777777" w:rsidR="00C712F4" w:rsidRDefault="00C712F4" w:rsidP="00696A3D">
      <w:pPr>
        <w:pStyle w:val="Voetnoottekst"/>
        <w:rPr>
          <w:rFonts w:ascii="Calibri" w:hAnsi="Calibri" w:cs="Calibri"/>
        </w:rPr>
      </w:pPr>
      <w:r>
        <w:rPr>
          <w:rStyle w:val="Voetnootmarkering"/>
          <w:sz w:val="16"/>
          <w:lang w:val="nl-NL"/>
        </w:rPr>
        <w:footnoteRef/>
      </w:r>
      <w:r>
        <w:rPr>
          <w:sz w:val="16"/>
          <w:lang w:val="nl-NL"/>
        </w:rPr>
        <w:t xml:space="preserve"> In de Wet </w:t>
      </w:r>
      <w:proofErr w:type="spellStart"/>
      <w:r>
        <w:rPr>
          <w:sz w:val="16"/>
          <w:lang w:val="nl-NL"/>
        </w:rPr>
        <w:t>Bezava</w:t>
      </w:r>
      <w:proofErr w:type="spellEnd"/>
      <w:r>
        <w:rPr>
          <w:sz w:val="16"/>
          <w:lang w:val="nl-NL"/>
        </w:rPr>
        <w:t xml:space="preserve"> is geregeld dat er een eerstejaars ziektewet-beoordeling komt voor </w:t>
      </w:r>
      <w:proofErr w:type="spellStart"/>
      <w:r>
        <w:rPr>
          <w:sz w:val="16"/>
          <w:lang w:val="nl-NL"/>
        </w:rPr>
        <w:t>vangnetters</w:t>
      </w:r>
      <w:proofErr w:type="spellEnd"/>
      <w:r>
        <w:rPr>
          <w:sz w:val="16"/>
          <w:lang w:val="nl-NL"/>
        </w:rPr>
        <w:t xml:space="preserve">. Als zij meer dan 65% arbeidsgeschikt blijken te zijn bij deze beoordeling stromen zij niet in het tweede ziektejaar in (en in potentie ook niet in de WIA). Daarnaast is in de Wet </w:t>
      </w:r>
      <w:proofErr w:type="spellStart"/>
      <w:r>
        <w:rPr>
          <w:sz w:val="16"/>
          <w:lang w:val="nl-NL"/>
        </w:rPr>
        <w:t>Bezava</w:t>
      </w:r>
      <w:proofErr w:type="spellEnd"/>
      <w:r>
        <w:rPr>
          <w:sz w:val="16"/>
          <w:lang w:val="nl-NL"/>
        </w:rPr>
        <w:t xml:space="preserve"> premiedifferentiatie geregeld voor de ZW.</w:t>
      </w:r>
    </w:p>
  </w:footnote>
  <w:footnote w:id="5">
    <w:p w14:paraId="0A6AA90B" w14:textId="77777777" w:rsidR="00C712F4" w:rsidRDefault="00C712F4" w:rsidP="00696A3D">
      <w:pPr>
        <w:pStyle w:val="Voetnoottekst"/>
        <w:rPr>
          <w:lang w:val="nl-NL"/>
        </w:rPr>
      </w:pPr>
      <w:r>
        <w:rPr>
          <w:rStyle w:val="Voetnootmarkering"/>
          <w:sz w:val="16"/>
        </w:rPr>
        <w:footnoteRef/>
      </w:r>
      <w:r>
        <w:rPr>
          <w:sz w:val="16"/>
        </w:rPr>
        <w:t xml:space="preserve"> </w:t>
      </w:r>
      <w:r>
        <w:rPr>
          <w:sz w:val="16"/>
          <w:lang w:val="nl-NL"/>
        </w:rPr>
        <w:t>Van Ooijen et al. (2020)</w:t>
      </w:r>
    </w:p>
  </w:footnote>
  <w:footnote w:id="6">
    <w:p w14:paraId="38E3B03C" w14:textId="77777777" w:rsidR="00C712F4" w:rsidRDefault="00C712F4" w:rsidP="00696A3D">
      <w:pPr>
        <w:pStyle w:val="Voetnoottekst"/>
        <w:rPr>
          <w:lang w:val="nl-NL"/>
        </w:rPr>
      </w:pPr>
      <w:r>
        <w:rPr>
          <w:rStyle w:val="Voetnootmarkering"/>
          <w:sz w:val="16"/>
          <w:lang w:val="nl-NL"/>
        </w:rPr>
        <w:footnoteRef/>
      </w:r>
      <w:r>
        <w:rPr>
          <w:sz w:val="16"/>
          <w:lang w:val="nl-NL"/>
        </w:rPr>
        <w:t xml:space="preserve"> Bij de leeftijdscategorieën moet 2 jaar worden opgeteld voordat instroom plaatsvindt vanwege de wachttijd. Bijvoorbeeld een verzekerde in de leeftijdscategorie 48-52 jaar is tussen de 50 en 54 jaar bij instroom in de WIA. </w:t>
      </w:r>
    </w:p>
  </w:footnote>
  <w:footnote w:id="7">
    <w:p w14:paraId="11ECD234" w14:textId="7DCE996A" w:rsidR="00C712F4" w:rsidRDefault="00C712F4" w:rsidP="00696A3D">
      <w:pPr>
        <w:pStyle w:val="Voetnoottekst"/>
        <w:rPr>
          <w:lang w:val="nl-NL"/>
        </w:rPr>
      </w:pPr>
      <w:r>
        <w:rPr>
          <w:rStyle w:val="Voetnootmarkering"/>
          <w:sz w:val="16"/>
        </w:rPr>
        <w:footnoteRef/>
      </w:r>
      <w:r>
        <w:rPr>
          <w:sz w:val="16"/>
        </w:rPr>
        <w:t xml:space="preserve"> </w:t>
      </w:r>
      <w:r w:rsidRPr="00315FBE">
        <w:rPr>
          <w:sz w:val="16"/>
          <w:lang w:val="nl-NL"/>
        </w:rPr>
        <w:t>Bron: UWV (2018) “stijging WIA-instroom”</w:t>
      </w:r>
      <w:r w:rsidR="00733969" w:rsidRPr="00315FBE">
        <w:rPr>
          <w:sz w:val="16"/>
          <w:lang w:val="nl-NL"/>
        </w:rPr>
        <w:t>.</w:t>
      </w:r>
    </w:p>
  </w:footnote>
  <w:footnote w:id="8">
    <w:p w14:paraId="4548D7A7" w14:textId="35B890B9" w:rsidR="00C712F4" w:rsidRPr="002C21D0" w:rsidRDefault="00C712F4" w:rsidP="00696A3D">
      <w:pPr>
        <w:pStyle w:val="Voetnoottekst"/>
        <w:rPr>
          <w:lang w:val="nl-NL"/>
        </w:rPr>
      </w:pPr>
      <w:r w:rsidRPr="002C21D0">
        <w:rPr>
          <w:rStyle w:val="Voetnootmarkering"/>
          <w:sz w:val="16"/>
        </w:rPr>
        <w:footnoteRef/>
      </w:r>
      <w:r w:rsidRPr="002C21D0">
        <w:rPr>
          <w:lang w:val="nl-NL"/>
        </w:rPr>
        <w:t xml:space="preserve"> </w:t>
      </w:r>
      <w:r w:rsidR="002C21D0">
        <w:rPr>
          <w:sz w:val="16"/>
          <w:lang w:val="nl-NL"/>
        </w:rPr>
        <w:t>Kamerstukken II, 2019/</w:t>
      </w:r>
      <w:r w:rsidR="002C21D0" w:rsidRPr="002C21D0">
        <w:rPr>
          <w:sz w:val="16"/>
          <w:lang w:val="nl-NL"/>
        </w:rPr>
        <w:t>20, 25883, nr. 388</w:t>
      </w:r>
    </w:p>
  </w:footnote>
  <w:footnote w:id="9">
    <w:p w14:paraId="621EE968" w14:textId="77777777" w:rsidR="009B75E0" w:rsidRDefault="009B75E0" w:rsidP="009B75E0">
      <w:pPr>
        <w:pStyle w:val="Voetnoottekst"/>
        <w:rPr>
          <w:lang w:val="nl-NL"/>
        </w:rPr>
      </w:pPr>
      <w:r>
        <w:rPr>
          <w:rStyle w:val="Voetnootmarkering"/>
        </w:rPr>
        <w:footnoteRef/>
      </w:r>
      <w:r>
        <w:t xml:space="preserve"> </w:t>
      </w:r>
      <w:proofErr w:type="spellStart"/>
      <w:r>
        <w:rPr>
          <w:sz w:val="16"/>
          <w:szCs w:val="16"/>
        </w:rPr>
        <w:t>Zie</w:t>
      </w:r>
      <w:proofErr w:type="spellEnd"/>
      <w:r>
        <w:rPr>
          <w:sz w:val="16"/>
          <w:szCs w:val="16"/>
        </w:rPr>
        <w:t xml:space="preserve"> </w:t>
      </w:r>
      <w:proofErr w:type="spellStart"/>
      <w:r>
        <w:rPr>
          <w:sz w:val="16"/>
          <w:szCs w:val="16"/>
        </w:rPr>
        <w:t>onder</w:t>
      </w:r>
      <w:proofErr w:type="spellEnd"/>
      <w:r>
        <w:rPr>
          <w:sz w:val="16"/>
          <w:szCs w:val="16"/>
        </w:rPr>
        <w:t xml:space="preserve"> </w:t>
      </w:r>
      <w:proofErr w:type="spellStart"/>
      <w:r>
        <w:rPr>
          <w:sz w:val="16"/>
          <w:szCs w:val="16"/>
        </w:rPr>
        <w:t>meer</w:t>
      </w:r>
      <w:proofErr w:type="spellEnd"/>
      <w:r>
        <w:rPr>
          <w:sz w:val="16"/>
          <w:szCs w:val="16"/>
        </w:rPr>
        <w:t xml:space="preserve"> </w:t>
      </w:r>
      <w:proofErr w:type="spellStart"/>
      <w:r>
        <w:rPr>
          <w:sz w:val="16"/>
          <w:szCs w:val="16"/>
        </w:rPr>
        <w:t>Kamerstukken</w:t>
      </w:r>
      <w:proofErr w:type="spellEnd"/>
      <w:r>
        <w:rPr>
          <w:sz w:val="16"/>
          <w:szCs w:val="16"/>
        </w:rPr>
        <w:t xml:space="preserve"> II 2019/20, 25833, nr. 388 </w:t>
      </w:r>
      <w:proofErr w:type="spellStart"/>
      <w:r>
        <w:rPr>
          <w:sz w:val="16"/>
          <w:szCs w:val="16"/>
        </w:rPr>
        <w:t>en</w:t>
      </w:r>
      <w:proofErr w:type="spellEnd"/>
      <w:r>
        <w:rPr>
          <w:sz w:val="16"/>
          <w:szCs w:val="16"/>
        </w:rPr>
        <w:t xml:space="preserve"> </w:t>
      </w:r>
      <w:proofErr w:type="spellStart"/>
      <w:r>
        <w:rPr>
          <w:sz w:val="16"/>
          <w:szCs w:val="16"/>
        </w:rPr>
        <w:t>Kamerbrief</w:t>
      </w:r>
      <w:proofErr w:type="spellEnd"/>
      <w:r>
        <w:rPr>
          <w:sz w:val="16"/>
          <w:szCs w:val="16"/>
        </w:rPr>
        <w:t xml:space="preserve"> </w:t>
      </w:r>
      <w:proofErr w:type="spellStart"/>
      <w:r>
        <w:rPr>
          <w:sz w:val="16"/>
          <w:szCs w:val="16"/>
        </w:rPr>
        <w:t>Routekaart</w:t>
      </w:r>
      <w:proofErr w:type="spellEnd"/>
      <w:r>
        <w:rPr>
          <w:sz w:val="16"/>
          <w:szCs w:val="16"/>
        </w:rPr>
        <w:t xml:space="preserve"> </w:t>
      </w:r>
      <w:proofErr w:type="spellStart"/>
      <w:r>
        <w:rPr>
          <w:sz w:val="16"/>
          <w:szCs w:val="16"/>
        </w:rPr>
        <w:t>leren</w:t>
      </w:r>
      <w:proofErr w:type="spellEnd"/>
      <w:r>
        <w:rPr>
          <w:sz w:val="16"/>
          <w:szCs w:val="16"/>
        </w:rPr>
        <w:t xml:space="preserve"> </w:t>
      </w:r>
      <w:proofErr w:type="spellStart"/>
      <w:r>
        <w:rPr>
          <w:sz w:val="16"/>
          <w:szCs w:val="16"/>
        </w:rPr>
        <w:t>en</w:t>
      </w:r>
      <w:proofErr w:type="spellEnd"/>
      <w:r>
        <w:rPr>
          <w:sz w:val="16"/>
          <w:szCs w:val="16"/>
        </w:rPr>
        <w:t xml:space="preserve"> </w:t>
      </w:r>
      <w:proofErr w:type="spellStart"/>
      <w:r>
        <w:rPr>
          <w:sz w:val="16"/>
          <w:szCs w:val="16"/>
        </w:rPr>
        <w:t>ontwikkelen</w:t>
      </w:r>
      <w:proofErr w:type="spellEnd"/>
      <w:r>
        <w:rPr>
          <w:sz w:val="16"/>
          <w:szCs w:val="16"/>
        </w:rPr>
        <w:t xml:space="preserve">, 13 </w:t>
      </w:r>
      <w:proofErr w:type="spellStart"/>
      <w:r>
        <w:rPr>
          <w:sz w:val="16"/>
          <w:szCs w:val="16"/>
        </w:rPr>
        <w:t>november</w:t>
      </w:r>
      <w:proofErr w:type="spellEnd"/>
      <w:r>
        <w:rPr>
          <w:sz w:val="16"/>
          <w:szCs w:val="16"/>
        </w:rPr>
        <w:t xml:space="preserve"> 2020.</w:t>
      </w:r>
    </w:p>
  </w:footnote>
  <w:footnote w:id="10">
    <w:p w14:paraId="1685F571" w14:textId="02143E40" w:rsidR="00C712F4" w:rsidRPr="00845BEA" w:rsidRDefault="00C712F4" w:rsidP="00696A3D">
      <w:pPr>
        <w:pStyle w:val="Voetnoottekst"/>
        <w:rPr>
          <w:lang w:val="nl-NL"/>
        </w:rPr>
      </w:pPr>
      <w:r w:rsidRPr="002C21D0">
        <w:rPr>
          <w:rStyle w:val="Voetnootmarkering"/>
          <w:sz w:val="16"/>
        </w:rPr>
        <w:footnoteRef/>
      </w:r>
      <w:r>
        <w:rPr>
          <w:sz w:val="16"/>
        </w:rPr>
        <w:t xml:space="preserve"> </w:t>
      </w:r>
      <w:r w:rsidRPr="00845BEA">
        <w:rPr>
          <w:sz w:val="16"/>
          <w:lang w:val="nl-NL"/>
        </w:rPr>
        <w:t xml:space="preserve">Kamerstukken II, </w:t>
      </w:r>
      <w:r w:rsidR="00732D62">
        <w:rPr>
          <w:sz w:val="16"/>
          <w:lang w:val="nl-NL"/>
        </w:rPr>
        <w:t>20</w:t>
      </w:r>
      <w:r w:rsidRPr="00845BEA">
        <w:rPr>
          <w:sz w:val="16"/>
          <w:lang w:val="nl-NL"/>
        </w:rPr>
        <w:t>18/19, 35 000 XV, nr. 49</w:t>
      </w:r>
    </w:p>
  </w:footnote>
  <w:footnote w:id="11">
    <w:p w14:paraId="2C25A660" w14:textId="0F4FDA94" w:rsidR="00C712F4" w:rsidRPr="00845BEA" w:rsidRDefault="00C712F4" w:rsidP="00696A3D">
      <w:pPr>
        <w:pStyle w:val="Voetnoottekst"/>
        <w:rPr>
          <w:lang w:val="nl-NL"/>
        </w:rPr>
      </w:pPr>
      <w:r w:rsidRPr="00845BEA">
        <w:rPr>
          <w:rStyle w:val="Voetnootmarkering"/>
          <w:sz w:val="16"/>
          <w:lang w:val="nl-NL"/>
        </w:rPr>
        <w:footnoteRef/>
      </w:r>
      <w:r w:rsidRPr="00845BEA">
        <w:rPr>
          <w:sz w:val="16"/>
          <w:lang w:val="nl-NL"/>
        </w:rPr>
        <w:t xml:space="preserve"> Kamerstukken II, </w:t>
      </w:r>
      <w:r w:rsidR="00732D62">
        <w:rPr>
          <w:sz w:val="16"/>
          <w:lang w:val="nl-NL"/>
        </w:rPr>
        <w:t>20</w:t>
      </w:r>
      <w:r w:rsidRPr="00845BEA">
        <w:rPr>
          <w:sz w:val="16"/>
          <w:lang w:val="nl-NL"/>
        </w:rPr>
        <w:t>19/20, 25883, nr.370</w:t>
      </w:r>
    </w:p>
  </w:footnote>
  <w:footnote w:id="12">
    <w:p w14:paraId="3B6C7ECD" w14:textId="0CC89D76" w:rsidR="00C712F4" w:rsidRPr="00845BEA" w:rsidRDefault="00C712F4" w:rsidP="00696A3D">
      <w:pPr>
        <w:pStyle w:val="Voetnoottekst"/>
        <w:rPr>
          <w:lang w:val="nl-NL"/>
        </w:rPr>
      </w:pPr>
      <w:r w:rsidRPr="00845BEA">
        <w:rPr>
          <w:rStyle w:val="Voetnootmarkering"/>
          <w:sz w:val="16"/>
          <w:lang w:val="nl-NL"/>
        </w:rPr>
        <w:footnoteRef/>
      </w:r>
      <w:r w:rsidRPr="00845BEA">
        <w:rPr>
          <w:sz w:val="16"/>
          <w:lang w:val="nl-NL"/>
        </w:rPr>
        <w:t xml:space="preserve"> Kamerstukken II, </w:t>
      </w:r>
      <w:r w:rsidR="00732D62">
        <w:rPr>
          <w:sz w:val="16"/>
          <w:lang w:val="nl-NL"/>
        </w:rPr>
        <w:t>20</w:t>
      </w:r>
      <w:r w:rsidRPr="00845BEA">
        <w:rPr>
          <w:sz w:val="16"/>
          <w:lang w:val="nl-NL"/>
        </w:rPr>
        <w:t>18/19, 32716, nr.38</w:t>
      </w:r>
    </w:p>
  </w:footnote>
  <w:footnote w:id="13">
    <w:p w14:paraId="646F465A" w14:textId="77777777" w:rsidR="00845BEA" w:rsidRPr="00845BEA" w:rsidRDefault="00845BEA" w:rsidP="00845BEA">
      <w:pPr>
        <w:pStyle w:val="Voetnoottekst"/>
        <w:rPr>
          <w:lang w:val="nl-NL"/>
        </w:rPr>
      </w:pPr>
      <w:r w:rsidRPr="00845BEA">
        <w:rPr>
          <w:rStyle w:val="Voetnootmarkering"/>
          <w:sz w:val="16"/>
          <w:lang w:val="nl-NL"/>
        </w:rPr>
        <w:footnoteRef/>
      </w:r>
      <w:r w:rsidRPr="00845BEA">
        <w:rPr>
          <w:sz w:val="16"/>
          <w:lang w:val="nl-NL"/>
        </w:rPr>
        <w:t xml:space="preserve"> https://www.rijksfinancien.nl/ombuigings-en-intensiveringslijst</w:t>
      </w:r>
    </w:p>
  </w:footnote>
  <w:footnote w:id="14">
    <w:p w14:paraId="0365A0ED" w14:textId="77777777" w:rsidR="00D56771" w:rsidRDefault="00D56771" w:rsidP="00D56771">
      <w:pPr>
        <w:pStyle w:val="Voetnoottekst"/>
        <w:rPr>
          <w:lang w:val="nl-NL"/>
        </w:rPr>
      </w:pPr>
      <w:r>
        <w:rPr>
          <w:rStyle w:val="Voetnootmarkering"/>
          <w:sz w:val="16"/>
        </w:rPr>
        <w:footnoteRef/>
      </w:r>
      <w:r>
        <w:rPr>
          <w:sz w:val="16"/>
          <w:lang w:val="nl-NL"/>
        </w:rPr>
        <w:t xml:space="preserve"> Indien de bron niet nader gespecificeerd is voor de ZW is de data afkomstig van het UWV.</w:t>
      </w:r>
    </w:p>
  </w:footnote>
  <w:footnote w:id="15">
    <w:p w14:paraId="0280B447" w14:textId="77777777" w:rsidR="00B64863" w:rsidRPr="00B64863" w:rsidRDefault="00B64863" w:rsidP="00B64863">
      <w:pPr>
        <w:pStyle w:val="Voetnoottekst"/>
        <w:rPr>
          <w:rFonts w:ascii="Calibri" w:hAnsi="Calibri" w:cs="Calibri"/>
          <w:lang w:val="nl-NL"/>
        </w:rPr>
      </w:pPr>
      <w:r>
        <w:rPr>
          <w:rStyle w:val="Voetnootmarkering"/>
          <w:sz w:val="16"/>
          <w:szCs w:val="16"/>
          <w:lang w:val="nl-NL"/>
        </w:rPr>
        <w:footnoteRef/>
      </w:r>
      <w:r>
        <w:rPr>
          <w:sz w:val="16"/>
          <w:szCs w:val="16"/>
          <w:lang w:val="nl-NL"/>
        </w:rPr>
        <w:t xml:space="preserve"> Indien een contract van onbepaalde tijd is opgezegd en de werknemer wordt ziek gedurende de nog lopende opzegtermijn, komt de werknemer na verloop van de</w:t>
      </w:r>
      <w:r w:rsidRPr="00315FBE">
        <w:rPr>
          <w:sz w:val="16"/>
          <w:szCs w:val="16"/>
          <w:lang w:val="nl-NL"/>
        </w:rPr>
        <w:t xml:space="preserve"> </w:t>
      </w:r>
      <w:r>
        <w:rPr>
          <w:sz w:val="16"/>
          <w:szCs w:val="16"/>
          <w:lang w:val="nl-NL"/>
        </w:rPr>
        <w:t xml:space="preserve">opzegtermijn ook in de Ziektewet. (Deze werknemers vallen onder de vangnetgroep </w:t>
      </w:r>
      <w:proofErr w:type="spellStart"/>
      <w:r>
        <w:rPr>
          <w:sz w:val="16"/>
          <w:szCs w:val="16"/>
          <w:lang w:val="nl-NL"/>
        </w:rPr>
        <w:t>eindedienstverbanders</w:t>
      </w:r>
      <w:proofErr w:type="spellEnd"/>
      <w:r>
        <w:rPr>
          <w:sz w:val="16"/>
          <w:szCs w:val="16"/>
          <w:lang w:val="nl-NL"/>
        </w:rPr>
        <w:t>.)</w:t>
      </w:r>
      <w:r w:rsidRPr="00315FBE">
        <w:rPr>
          <w:sz w:val="16"/>
          <w:szCs w:val="16"/>
          <w:lang w:val="nl-NL"/>
        </w:rPr>
        <w:t xml:space="preserve"> </w:t>
      </w:r>
    </w:p>
  </w:footnote>
  <w:footnote w:id="16">
    <w:p w14:paraId="6E2C48EA" w14:textId="33E38FFF" w:rsidR="00C712F4" w:rsidRPr="002779CF" w:rsidRDefault="00C712F4">
      <w:pPr>
        <w:pStyle w:val="Voetnoottekst"/>
        <w:rPr>
          <w:sz w:val="16"/>
          <w:szCs w:val="16"/>
          <w:lang w:val="nl-NL"/>
        </w:rPr>
      </w:pPr>
      <w:r w:rsidRPr="002779CF">
        <w:rPr>
          <w:rStyle w:val="Voetnootmarkering"/>
          <w:sz w:val="16"/>
          <w:szCs w:val="16"/>
          <w:lang w:val="nl-NL"/>
        </w:rPr>
        <w:footnoteRef/>
      </w:r>
      <w:r w:rsidRPr="002779CF">
        <w:rPr>
          <w:sz w:val="16"/>
          <w:szCs w:val="16"/>
          <w:lang w:val="nl-NL"/>
        </w:rPr>
        <w:t xml:space="preserve"> Wet van 23 december 2015 tot wijziging van de Participatiewet, de Ziektewet, de Wet werk en inkomen naar arbeidsvermogen en de Wet financiering sociale verzekeringen in verband met harmonisatie van instrumenten ter bevordering van arbeidsdeelname van </w:t>
      </w:r>
      <w:proofErr w:type="spellStart"/>
      <w:r w:rsidRPr="002779CF">
        <w:rPr>
          <w:sz w:val="16"/>
          <w:szCs w:val="16"/>
          <w:lang w:val="nl-NL"/>
        </w:rPr>
        <w:t>arbeidsbeperkten</w:t>
      </w:r>
      <w:proofErr w:type="spellEnd"/>
      <w:r>
        <w:rPr>
          <w:sz w:val="16"/>
          <w:szCs w:val="16"/>
          <w:lang w:val="nl-NL"/>
        </w:rPr>
        <w:t xml:space="preserve"> (Stb. 2015, 547).</w:t>
      </w:r>
    </w:p>
  </w:footnote>
  <w:footnote w:id="17">
    <w:p w14:paraId="43F47C0B" w14:textId="77777777" w:rsidR="00C712F4" w:rsidRDefault="00C712F4" w:rsidP="006D56E4">
      <w:pPr>
        <w:pStyle w:val="Voetnoottekst"/>
        <w:rPr>
          <w:rFonts w:cs="Calibri"/>
          <w:sz w:val="16"/>
          <w:szCs w:val="16"/>
          <w:lang w:val="nl-NL"/>
        </w:rPr>
      </w:pPr>
      <w:r>
        <w:rPr>
          <w:rStyle w:val="Voetnootmarkering"/>
          <w:sz w:val="16"/>
          <w:szCs w:val="16"/>
          <w:lang w:val="nl-NL"/>
        </w:rPr>
        <w:footnoteRef/>
      </w:r>
      <w:r>
        <w:rPr>
          <w:sz w:val="16"/>
          <w:szCs w:val="16"/>
          <w:lang w:val="nl-NL"/>
        </w:rPr>
        <w:t xml:space="preserve"> Dit kon als de uitzender meer dan 50% van zijn loonsom uitleende aan werkgevers in een bepaalde </w:t>
      </w:r>
      <w:proofErr w:type="spellStart"/>
      <w:r>
        <w:rPr>
          <w:sz w:val="16"/>
          <w:szCs w:val="16"/>
          <w:lang w:val="nl-NL"/>
        </w:rPr>
        <w:t>vaksector</w:t>
      </w:r>
      <w:proofErr w:type="spellEnd"/>
      <w:r>
        <w:rPr>
          <w:sz w:val="16"/>
          <w:szCs w:val="16"/>
          <w:lang w:val="nl-NL"/>
        </w:rPr>
        <w:t>.</w:t>
      </w:r>
    </w:p>
  </w:footnote>
  <w:footnote w:id="18">
    <w:p w14:paraId="1547889E" w14:textId="3C342B00" w:rsidR="00C712F4" w:rsidRDefault="00C712F4" w:rsidP="006D56E4">
      <w:pPr>
        <w:pStyle w:val="Voetnoottekst"/>
        <w:rPr>
          <w:lang w:val="nl-NL"/>
        </w:rPr>
      </w:pPr>
      <w:r>
        <w:rPr>
          <w:rStyle w:val="Voetnootmarkering"/>
          <w:sz w:val="16"/>
          <w:lang w:val="nl-NL"/>
        </w:rPr>
        <w:footnoteRef/>
      </w:r>
      <w:r>
        <w:rPr>
          <w:sz w:val="16"/>
          <w:lang w:val="nl-NL"/>
        </w:rPr>
        <w:t xml:space="preserve"> De </w:t>
      </w:r>
      <w:r w:rsidR="00B66992">
        <w:rPr>
          <w:sz w:val="16"/>
          <w:lang w:val="nl-NL"/>
        </w:rPr>
        <w:t>v</w:t>
      </w:r>
      <w:r>
        <w:rPr>
          <w:sz w:val="16"/>
          <w:lang w:val="nl-NL"/>
        </w:rPr>
        <w:t xml:space="preserve">erblijfsduur is niet de ziekteperiode. </w:t>
      </w:r>
      <w:r>
        <w:rPr>
          <w:sz w:val="16"/>
          <w:szCs w:val="18"/>
          <w:lang w:val="nl-NL"/>
        </w:rPr>
        <w:t>Een WW-gerechtigde stroomt pas na 13 weken ziekte de ZW in</w:t>
      </w:r>
      <w:r>
        <w:rPr>
          <w:sz w:val="16"/>
          <w:lang w:val="nl-NL"/>
        </w:rPr>
        <w:t>.</w:t>
      </w:r>
    </w:p>
  </w:footnote>
  <w:footnote w:id="19">
    <w:p w14:paraId="0111A1BF" w14:textId="093C5174" w:rsidR="0020799E" w:rsidRPr="0020799E" w:rsidRDefault="0020799E">
      <w:pPr>
        <w:pStyle w:val="Voetnoottekst"/>
        <w:rPr>
          <w:lang w:val="nl-NL"/>
        </w:rPr>
      </w:pPr>
      <w:r w:rsidRPr="0020799E">
        <w:rPr>
          <w:rStyle w:val="Voetnootmarkering"/>
          <w:sz w:val="16"/>
          <w:lang w:val="nl-NL"/>
        </w:rPr>
        <w:footnoteRef/>
      </w:r>
      <w:r w:rsidRPr="0020799E">
        <w:rPr>
          <w:sz w:val="16"/>
          <w:lang w:val="nl-NL"/>
        </w:rPr>
        <w:t xml:space="preserve"> In 2019 is de instroom van de vangnetgroep no-riskpolis groter dan die van </w:t>
      </w:r>
      <w:proofErr w:type="spellStart"/>
      <w:r w:rsidRPr="0020799E">
        <w:rPr>
          <w:sz w:val="16"/>
          <w:lang w:val="nl-NL"/>
        </w:rPr>
        <w:t>zwangeren</w:t>
      </w:r>
      <w:proofErr w:type="spellEnd"/>
      <w:r w:rsidRPr="0020799E">
        <w:rPr>
          <w:sz w:val="16"/>
          <w:lang w:val="nl-NL"/>
        </w:rPr>
        <w:t>.</w:t>
      </w:r>
      <w:r w:rsidR="00733969">
        <w:rPr>
          <w:sz w:val="16"/>
          <w:lang w:val="nl-NL"/>
        </w:rPr>
        <w:t xml:space="preserve"> Dit komt door de uitbreiding van de no-riskpopulatie. </w:t>
      </w:r>
    </w:p>
  </w:footnote>
  <w:footnote w:id="20">
    <w:p w14:paraId="7450C7F9" w14:textId="23ADF5C4" w:rsidR="00C712F4" w:rsidRDefault="00C712F4" w:rsidP="006D56E4">
      <w:pPr>
        <w:pStyle w:val="Voetnoottekst"/>
        <w:rPr>
          <w:lang w:val="nl-NL"/>
        </w:rPr>
      </w:pPr>
      <w:r>
        <w:rPr>
          <w:rStyle w:val="Voetnootmarkering"/>
          <w:sz w:val="16"/>
        </w:rPr>
        <w:footnoteRef/>
      </w:r>
      <w:r>
        <w:rPr>
          <w:sz w:val="16"/>
        </w:rPr>
        <w:t xml:space="preserve"> </w:t>
      </w:r>
      <w:proofErr w:type="spellStart"/>
      <w:r w:rsidR="006370CD">
        <w:rPr>
          <w:sz w:val="16"/>
        </w:rPr>
        <w:t>Kamerstukken</w:t>
      </w:r>
      <w:proofErr w:type="spellEnd"/>
      <w:r w:rsidR="006370CD">
        <w:rPr>
          <w:sz w:val="16"/>
        </w:rPr>
        <w:t xml:space="preserve"> II</w:t>
      </w:r>
      <w:r>
        <w:rPr>
          <w:sz w:val="16"/>
          <w:lang w:val="nl-NL"/>
        </w:rPr>
        <w:t xml:space="preserve"> 2011/12 33 241, nr. 3.</w:t>
      </w:r>
    </w:p>
  </w:footnote>
  <w:footnote w:id="21">
    <w:p w14:paraId="784107B6" w14:textId="193CBEA9" w:rsidR="005340A9" w:rsidRPr="00755C56" w:rsidRDefault="005340A9" w:rsidP="005340A9">
      <w:pPr>
        <w:pStyle w:val="Voetnoottekst"/>
        <w:rPr>
          <w:sz w:val="16"/>
          <w:szCs w:val="16"/>
          <w:lang w:val="nl-NL"/>
        </w:rPr>
      </w:pPr>
      <w:r w:rsidRPr="00755C56">
        <w:rPr>
          <w:rStyle w:val="Voetnootmarkering"/>
          <w:sz w:val="16"/>
          <w:szCs w:val="16"/>
        </w:rPr>
        <w:footnoteRef/>
      </w:r>
      <w:r w:rsidRPr="00755C56">
        <w:rPr>
          <w:sz w:val="16"/>
          <w:szCs w:val="16"/>
        </w:rPr>
        <w:t xml:space="preserve"> </w:t>
      </w:r>
      <w:r w:rsidRPr="00755C56">
        <w:rPr>
          <w:sz w:val="16"/>
          <w:szCs w:val="16"/>
          <w:lang w:val="nl-NL"/>
        </w:rPr>
        <w:t>Zie</w:t>
      </w:r>
      <w:r w:rsidR="001C6D8C" w:rsidRPr="00755C56">
        <w:rPr>
          <w:sz w:val="16"/>
          <w:szCs w:val="16"/>
          <w:lang w:val="nl-NL"/>
        </w:rPr>
        <w:t xml:space="preserve"> </w:t>
      </w:r>
      <w:hyperlink r:id="rId1" w:history="1">
        <w:r w:rsidR="001C6D8C" w:rsidRPr="00755C56">
          <w:rPr>
            <w:rStyle w:val="Hyperlink"/>
            <w:color w:val="auto"/>
            <w:sz w:val="16"/>
            <w:szCs w:val="16"/>
            <w:u w:val="none"/>
          </w:rPr>
          <w:t>https://rijksbegroting.nl/system/files/12/ibo-arbeidsongeschiktheideindrapport-ibo-geschikt-voor-de-arbeidsmarkt-def.pdf</w:t>
        </w:r>
      </w:hyperlink>
      <w:r w:rsidR="001C6D8C" w:rsidRPr="00755C56">
        <w:rPr>
          <w:sz w:val="16"/>
          <w:szCs w:val="16"/>
        </w:rPr>
        <w:t xml:space="preserve"> </w:t>
      </w:r>
      <w:proofErr w:type="spellStart"/>
      <w:r w:rsidR="001C6D8C" w:rsidRPr="00755C56">
        <w:rPr>
          <w:sz w:val="16"/>
          <w:szCs w:val="16"/>
        </w:rPr>
        <w:t>en</w:t>
      </w:r>
      <w:proofErr w:type="spellEnd"/>
      <w:r w:rsidRPr="00755C56">
        <w:rPr>
          <w:sz w:val="16"/>
          <w:szCs w:val="16"/>
          <w:lang w:val="nl-NL"/>
        </w:rPr>
        <w:t xml:space="preserve"> </w:t>
      </w:r>
      <w:hyperlink r:id="rId2" w:history="1">
        <w:r w:rsidRPr="00755C56">
          <w:rPr>
            <w:rStyle w:val="Hyperlink"/>
            <w:color w:val="auto"/>
            <w:sz w:val="16"/>
            <w:szCs w:val="16"/>
            <w:u w:val="none"/>
          </w:rPr>
          <w:t>https://www.rijksfinancien.nl/verkiezingen-en-formatie-2021/ombuigings-en-intensiveringslijst</w:t>
        </w:r>
      </w:hyperlink>
      <w:r w:rsidRPr="00755C56">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FD3E" w14:textId="77777777" w:rsidR="00C712F4" w:rsidRDefault="00C712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6C28" w14:textId="77777777" w:rsidR="00C712F4" w:rsidRDefault="00C712F4">
    <w:pPr>
      <w:pStyle w:val="MarginlessContainer"/>
    </w:pPr>
    <w:r>
      <w:rPr>
        <w:noProof/>
      </w:rPr>
      <mc:AlternateContent>
        <mc:Choice Requires="wps">
          <w:drawing>
            <wp:anchor distT="0" distB="0" distL="0" distR="0" simplePos="0" relativeHeight="251654144" behindDoc="0" locked="1" layoutInCell="1" allowOverlap="1" wp14:anchorId="7356B33F" wp14:editId="60276521">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B2A92D6" w14:textId="77777777" w:rsidR="00C712F4" w:rsidRDefault="00C712F4">
                          <w:pPr>
                            <w:pStyle w:val="WitregelW2"/>
                          </w:pPr>
                        </w:p>
                        <w:p w14:paraId="0B4FFE5A" w14:textId="77777777" w:rsidR="00C712F4" w:rsidRDefault="00C712F4">
                          <w:pPr>
                            <w:pStyle w:val="Referentiegegevenskopjes"/>
                          </w:pPr>
                          <w:r>
                            <w:t>Datum</w:t>
                          </w:r>
                        </w:p>
                        <w:p w14:paraId="16DD77AC" w14:textId="1163D8A0" w:rsidR="00C712F4" w:rsidRDefault="0046218E">
                          <w:pPr>
                            <w:pStyle w:val="Referentiegegevens"/>
                          </w:pPr>
                          <w:r>
                            <w:fldChar w:fldCharType="begin"/>
                          </w:r>
                          <w:r>
                            <w:instrText xml:space="preserve"> DOCPROPERTY  "iDatum"  \* MERGEFORMAT </w:instrText>
                          </w:r>
                          <w:r>
                            <w:fldChar w:fldCharType="separate"/>
                          </w:r>
                          <w:r w:rsidR="001B38BD">
                            <w:t>17 december 2020</w:t>
                          </w:r>
                          <w:r>
                            <w:fldChar w:fldCharType="end"/>
                          </w:r>
                        </w:p>
                        <w:p w14:paraId="4944C512" w14:textId="77777777" w:rsidR="00C712F4" w:rsidRDefault="00C712F4">
                          <w:pPr>
                            <w:pStyle w:val="WitregelW1"/>
                          </w:pPr>
                        </w:p>
                        <w:p w14:paraId="6E49173B" w14:textId="77777777" w:rsidR="00C712F4" w:rsidRDefault="00C712F4">
                          <w:pPr>
                            <w:pStyle w:val="Referentiegegevenskopjes"/>
                          </w:pPr>
                          <w:r>
                            <w:t>Onze referentie</w:t>
                          </w:r>
                        </w:p>
                        <w:p w14:paraId="050D2E85" w14:textId="71D895E5" w:rsidR="00C712F4" w:rsidRDefault="0046218E">
                          <w:pPr>
                            <w:pStyle w:val="ReferentiegegevensHL"/>
                          </w:pPr>
                          <w:r>
                            <w:fldChar w:fldCharType="begin"/>
                          </w:r>
                          <w:r>
                            <w:instrText xml:space="preserve"> DOCPROPERTY  "iOnsKenmerk"  \* MERGEFORMAT </w:instrText>
                          </w:r>
                          <w:r>
                            <w:fldChar w:fldCharType="separate"/>
                          </w:r>
                          <w:r w:rsidR="001B38BD">
                            <w:t>2020-0000168540</w:t>
                          </w:r>
                          <w:r>
                            <w:fldChar w:fldCharType="end"/>
                          </w:r>
                        </w:p>
                      </w:txbxContent>
                    </wps:txbx>
                    <wps:bodyPr vert="horz" wrap="square" lIns="0" tIns="0" rIns="0" bIns="0" anchor="t" anchorCtr="0"/>
                  </wps:wsp>
                </a:graphicData>
              </a:graphic>
            </wp:anchor>
          </w:drawing>
        </mc:Choice>
        <mc:Fallback>
          <w:pict>
            <v:shapetype w14:anchorId="7356B33F"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5B2A92D6" w14:textId="77777777" w:rsidR="00C712F4" w:rsidRDefault="00C712F4">
                    <w:pPr>
                      <w:pStyle w:val="WitregelW2"/>
                    </w:pPr>
                  </w:p>
                  <w:p w14:paraId="0B4FFE5A" w14:textId="77777777" w:rsidR="00C712F4" w:rsidRDefault="00C712F4">
                    <w:pPr>
                      <w:pStyle w:val="Referentiegegevenskopjes"/>
                    </w:pPr>
                    <w:r>
                      <w:t>Datum</w:t>
                    </w:r>
                  </w:p>
                  <w:p w14:paraId="16DD77AC" w14:textId="1163D8A0" w:rsidR="00C712F4" w:rsidRDefault="0046218E">
                    <w:pPr>
                      <w:pStyle w:val="Referentiegegevens"/>
                    </w:pPr>
                    <w:r>
                      <w:fldChar w:fldCharType="begin"/>
                    </w:r>
                    <w:r>
                      <w:instrText xml:space="preserve"> DOCPROPERTY  "iDatum"  \* MERGEFORMAT </w:instrText>
                    </w:r>
                    <w:r>
                      <w:fldChar w:fldCharType="separate"/>
                    </w:r>
                    <w:r w:rsidR="001B38BD">
                      <w:t>17 december 2020</w:t>
                    </w:r>
                    <w:r>
                      <w:fldChar w:fldCharType="end"/>
                    </w:r>
                  </w:p>
                  <w:p w14:paraId="4944C512" w14:textId="77777777" w:rsidR="00C712F4" w:rsidRDefault="00C712F4">
                    <w:pPr>
                      <w:pStyle w:val="WitregelW1"/>
                    </w:pPr>
                  </w:p>
                  <w:p w14:paraId="6E49173B" w14:textId="77777777" w:rsidR="00C712F4" w:rsidRDefault="00C712F4">
                    <w:pPr>
                      <w:pStyle w:val="Referentiegegevenskopjes"/>
                    </w:pPr>
                    <w:r>
                      <w:t>Onze referentie</w:t>
                    </w:r>
                  </w:p>
                  <w:p w14:paraId="050D2E85" w14:textId="71D895E5" w:rsidR="00C712F4" w:rsidRDefault="0046218E">
                    <w:pPr>
                      <w:pStyle w:val="ReferentiegegevensHL"/>
                    </w:pPr>
                    <w:r>
                      <w:fldChar w:fldCharType="begin"/>
                    </w:r>
                    <w:r>
                      <w:instrText xml:space="preserve"> DOCPROPERTY  "iOnsKenmerk"  \* MERGEFORMAT </w:instrText>
                    </w:r>
                    <w:r>
                      <w:fldChar w:fldCharType="separate"/>
                    </w:r>
                    <w:r w:rsidR="001B38BD">
                      <w:t>2020-0000168540</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625F9CE5" wp14:editId="0912EB57">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10FE5DE" w14:textId="3346C28C" w:rsidR="00C712F4" w:rsidRDefault="00C712F4">
                          <w:pPr>
                            <w:pStyle w:val="Afzendgegevens"/>
                          </w:pPr>
                          <w:r>
                            <w:t xml:space="preserve">Pagina </w:t>
                          </w:r>
                          <w:r>
                            <w:fldChar w:fldCharType="begin"/>
                          </w:r>
                          <w:r>
                            <w:instrText>PAGE</w:instrText>
                          </w:r>
                          <w:r>
                            <w:fldChar w:fldCharType="separate"/>
                          </w:r>
                          <w:r w:rsidR="001B38BD">
                            <w:rPr>
                              <w:noProof/>
                            </w:rPr>
                            <w:t>13</w:t>
                          </w:r>
                          <w:r>
                            <w:fldChar w:fldCharType="end"/>
                          </w:r>
                          <w:r>
                            <w:t xml:space="preserve"> van </w:t>
                          </w:r>
                          <w:r>
                            <w:fldChar w:fldCharType="begin"/>
                          </w:r>
                          <w:r>
                            <w:instrText>NUMPAGES</w:instrText>
                          </w:r>
                          <w:r>
                            <w:fldChar w:fldCharType="separate"/>
                          </w:r>
                          <w:r w:rsidR="001B38BD">
                            <w:rPr>
                              <w:noProof/>
                            </w:rPr>
                            <w:t>14</w:t>
                          </w:r>
                          <w:r>
                            <w:fldChar w:fldCharType="end"/>
                          </w:r>
                        </w:p>
                      </w:txbxContent>
                    </wps:txbx>
                    <wps:bodyPr vert="horz" wrap="square" lIns="0" tIns="0" rIns="0" bIns="0" anchor="t" anchorCtr="0"/>
                  </wps:wsp>
                </a:graphicData>
              </a:graphic>
            </wp:anchor>
          </w:drawing>
        </mc:Choice>
        <mc:Fallback>
          <w:pict>
            <v:shape w14:anchorId="625F9CE5"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510FE5DE" w14:textId="3346C28C" w:rsidR="00C712F4" w:rsidRDefault="00C712F4">
                    <w:pPr>
                      <w:pStyle w:val="Afzendgegevens"/>
                    </w:pPr>
                    <w:r>
                      <w:t xml:space="preserve">Pagina </w:t>
                    </w:r>
                    <w:r>
                      <w:fldChar w:fldCharType="begin"/>
                    </w:r>
                    <w:r>
                      <w:instrText>PAGE</w:instrText>
                    </w:r>
                    <w:r>
                      <w:fldChar w:fldCharType="separate"/>
                    </w:r>
                    <w:r w:rsidR="001B38BD">
                      <w:rPr>
                        <w:noProof/>
                      </w:rPr>
                      <w:t>13</w:t>
                    </w:r>
                    <w:r>
                      <w:fldChar w:fldCharType="end"/>
                    </w:r>
                    <w:r>
                      <w:t xml:space="preserve"> van </w:t>
                    </w:r>
                    <w:r>
                      <w:fldChar w:fldCharType="begin"/>
                    </w:r>
                    <w:r>
                      <w:instrText>NUMPAGES</w:instrText>
                    </w:r>
                    <w:r>
                      <w:fldChar w:fldCharType="separate"/>
                    </w:r>
                    <w:r w:rsidR="001B38BD">
                      <w:rPr>
                        <w:noProof/>
                      </w:rPr>
                      <w:t>14</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1098" w14:textId="77777777" w:rsidR="00C712F4" w:rsidRDefault="00C712F4">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35DB1C88" wp14:editId="31E26287">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0CBF57B" w14:textId="77777777" w:rsidR="00C712F4" w:rsidRDefault="00C712F4">
                          <w:pPr>
                            <w:pStyle w:val="MarginlessContainer"/>
                          </w:pPr>
                          <w:r>
                            <w:rPr>
                              <w:noProof/>
                            </w:rPr>
                            <w:drawing>
                              <wp:inline distT="0" distB="0" distL="0" distR="0" wp14:anchorId="3BAC7581" wp14:editId="6224B6BE">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35DB1C88"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10CBF57B" w14:textId="77777777" w:rsidR="00C712F4" w:rsidRDefault="00C712F4">
                    <w:pPr>
                      <w:pStyle w:val="MarginlessContainer"/>
                    </w:pPr>
                    <w:r>
                      <w:rPr>
                        <w:noProof/>
                      </w:rPr>
                      <w:drawing>
                        <wp:inline distT="0" distB="0" distL="0" distR="0" wp14:anchorId="3BAC7581" wp14:editId="6224B6BE">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4EA95B5" wp14:editId="467E113A">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9CC85CC" w14:textId="77777777" w:rsidR="00C712F4" w:rsidRDefault="00C712F4">
                          <w:pPr>
                            <w:pStyle w:val="WitregelW1"/>
                          </w:pPr>
                        </w:p>
                        <w:p w14:paraId="1635BBE7" w14:textId="77777777" w:rsidR="00C712F4" w:rsidRDefault="00C712F4">
                          <w:pPr>
                            <w:pStyle w:val="Afzendgegevens"/>
                          </w:pPr>
                          <w:r>
                            <w:t>Postbus 90801</w:t>
                          </w:r>
                        </w:p>
                        <w:p w14:paraId="267649C3" w14:textId="77777777" w:rsidR="00C712F4" w:rsidRDefault="00C712F4">
                          <w:pPr>
                            <w:pStyle w:val="Afzendgegevens"/>
                          </w:pPr>
                          <w:r>
                            <w:t>2509 LV  Den Haag</w:t>
                          </w:r>
                        </w:p>
                        <w:p w14:paraId="22F88433" w14:textId="77777777" w:rsidR="00C712F4" w:rsidRDefault="00C712F4">
                          <w:pPr>
                            <w:pStyle w:val="Afzendgegevens"/>
                          </w:pPr>
                          <w:r>
                            <w:t>Parnassusplein 5</w:t>
                          </w:r>
                        </w:p>
                        <w:p w14:paraId="32F46182" w14:textId="77777777" w:rsidR="00C712F4" w:rsidRDefault="00C712F4">
                          <w:pPr>
                            <w:pStyle w:val="Afzendgegevens"/>
                          </w:pPr>
                          <w:r>
                            <w:t>T   070 333 44 44</w:t>
                          </w:r>
                        </w:p>
                        <w:p w14:paraId="644D8EEB" w14:textId="77777777" w:rsidR="00C712F4" w:rsidRDefault="00C712F4">
                          <w:pPr>
                            <w:pStyle w:val="Afzendgegevens"/>
                          </w:pPr>
                          <w:r>
                            <w:t>www.rijksoverheid.nl</w:t>
                          </w:r>
                        </w:p>
                        <w:p w14:paraId="0E70AD48" w14:textId="77777777" w:rsidR="00C712F4" w:rsidRDefault="00C712F4">
                          <w:pPr>
                            <w:pStyle w:val="WitregelW1"/>
                          </w:pPr>
                        </w:p>
                        <w:p w14:paraId="0B4C356B" w14:textId="4962DE03" w:rsidR="00C712F4" w:rsidRDefault="00C712F4">
                          <w:pPr>
                            <w:pStyle w:val="WitregelW2"/>
                          </w:pPr>
                        </w:p>
                        <w:p w14:paraId="05AA1015" w14:textId="77777777" w:rsidR="00C712F4" w:rsidRDefault="00C712F4">
                          <w:pPr>
                            <w:pStyle w:val="Referentiegegevenskopjes"/>
                          </w:pPr>
                          <w:r>
                            <w:t>Onze referentie</w:t>
                          </w:r>
                        </w:p>
                        <w:p w14:paraId="6837B0AC" w14:textId="636AC115" w:rsidR="00C712F4" w:rsidRDefault="0046218E">
                          <w:pPr>
                            <w:pStyle w:val="ReferentiegegevensHL"/>
                          </w:pPr>
                          <w:r>
                            <w:fldChar w:fldCharType="begin"/>
                          </w:r>
                          <w:r>
                            <w:instrText xml:space="preserve"> DOCPROPERTY  "iOnsKenmerk"  \* MERGEFORMAT </w:instrText>
                          </w:r>
                          <w:r>
                            <w:fldChar w:fldCharType="separate"/>
                          </w:r>
                          <w:r w:rsidR="001B38BD">
                            <w:t>2020-0000168540</w:t>
                          </w:r>
                          <w:r>
                            <w:fldChar w:fldCharType="end"/>
                          </w:r>
                        </w:p>
                        <w:p w14:paraId="3B81956B" w14:textId="77777777" w:rsidR="00C712F4" w:rsidRDefault="00C712F4">
                          <w:pPr>
                            <w:pStyle w:val="WitregelW1"/>
                          </w:pPr>
                        </w:p>
                        <w:p w14:paraId="754E0907" w14:textId="339A59C5" w:rsidR="00C712F4" w:rsidRDefault="00C712F4">
                          <w:pPr>
                            <w:pStyle w:val="Referentiegegevens"/>
                          </w:pPr>
                          <w:r>
                            <w:fldChar w:fldCharType="begin"/>
                          </w:r>
                          <w:r>
                            <w:instrText xml:space="preserve"> DOCPROPERTY  "iUwBrief"  \* MERGEFORMAT </w:instrText>
                          </w:r>
                          <w:r>
                            <w:fldChar w:fldCharType="end"/>
                          </w:r>
                        </w:p>
                        <w:p w14:paraId="4DBD459B" w14:textId="77777777" w:rsidR="00C712F4" w:rsidRDefault="00C712F4">
                          <w:pPr>
                            <w:pStyle w:val="WitregelW1"/>
                          </w:pPr>
                        </w:p>
                        <w:p w14:paraId="71243315" w14:textId="1E275D81" w:rsidR="00C712F4" w:rsidRDefault="00C712F4">
                          <w:pPr>
                            <w:pStyle w:val="Referentiegegevens"/>
                          </w:pPr>
                          <w:r>
                            <w:fldChar w:fldCharType="begin"/>
                          </w:r>
                          <w:r>
                            <w:instrText xml:space="preserve"> DOCPROPERTY  "iCC"  \* MERGEFORMAT </w:instrText>
                          </w:r>
                          <w:r>
                            <w:fldChar w:fldCharType="end"/>
                          </w:r>
                        </w:p>
                        <w:p w14:paraId="14C89C6D" w14:textId="77777777" w:rsidR="00C712F4" w:rsidRDefault="00C712F4">
                          <w:pPr>
                            <w:pStyle w:val="WitregelW1"/>
                          </w:pPr>
                        </w:p>
                        <w:p w14:paraId="6F25B55F" w14:textId="59B6C329" w:rsidR="00C712F4" w:rsidRDefault="00C712F4">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54EA95B5"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59CC85CC" w14:textId="77777777" w:rsidR="00C712F4" w:rsidRDefault="00C712F4">
                    <w:pPr>
                      <w:pStyle w:val="WitregelW1"/>
                    </w:pPr>
                  </w:p>
                  <w:p w14:paraId="1635BBE7" w14:textId="77777777" w:rsidR="00C712F4" w:rsidRDefault="00C712F4">
                    <w:pPr>
                      <w:pStyle w:val="Afzendgegevens"/>
                    </w:pPr>
                    <w:r>
                      <w:t>Postbus 90801</w:t>
                    </w:r>
                  </w:p>
                  <w:p w14:paraId="267649C3" w14:textId="77777777" w:rsidR="00C712F4" w:rsidRDefault="00C712F4">
                    <w:pPr>
                      <w:pStyle w:val="Afzendgegevens"/>
                    </w:pPr>
                    <w:r>
                      <w:t>2509 LV  Den Haag</w:t>
                    </w:r>
                  </w:p>
                  <w:p w14:paraId="22F88433" w14:textId="77777777" w:rsidR="00C712F4" w:rsidRDefault="00C712F4">
                    <w:pPr>
                      <w:pStyle w:val="Afzendgegevens"/>
                    </w:pPr>
                    <w:r>
                      <w:t>Parnassusplein 5</w:t>
                    </w:r>
                  </w:p>
                  <w:p w14:paraId="32F46182" w14:textId="77777777" w:rsidR="00C712F4" w:rsidRDefault="00C712F4">
                    <w:pPr>
                      <w:pStyle w:val="Afzendgegevens"/>
                    </w:pPr>
                    <w:r>
                      <w:t>T   070 333 44 44</w:t>
                    </w:r>
                  </w:p>
                  <w:p w14:paraId="644D8EEB" w14:textId="77777777" w:rsidR="00C712F4" w:rsidRDefault="00C712F4">
                    <w:pPr>
                      <w:pStyle w:val="Afzendgegevens"/>
                    </w:pPr>
                    <w:r>
                      <w:t>www.rijksoverheid.nl</w:t>
                    </w:r>
                  </w:p>
                  <w:p w14:paraId="0E70AD48" w14:textId="77777777" w:rsidR="00C712F4" w:rsidRDefault="00C712F4">
                    <w:pPr>
                      <w:pStyle w:val="WitregelW1"/>
                    </w:pPr>
                  </w:p>
                  <w:p w14:paraId="0B4C356B" w14:textId="4962DE03" w:rsidR="00C712F4" w:rsidRDefault="00C712F4">
                    <w:pPr>
                      <w:pStyle w:val="WitregelW2"/>
                    </w:pPr>
                  </w:p>
                  <w:p w14:paraId="05AA1015" w14:textId="77777777" w:rsidR="00C712F4" w:rsidRDefault="00C712F4">
                    <w:pPr>
                      <w:pStyle w:val="Referentiegegevenskopjes"/>
                    </w:pPr>
                    <w:r>
                      <w:t>Onze referentie</w:t>
                    </w:r>
                  </w:p>
                  <w:p w14:paraId="6837B0AC" w14:textId="636AC115" w:rsidR="00C712F4" w:rsidRDefault="0046218E">
                    <w:pPr>
                      <w:pStyle w:val="ReferentiegegevensHL"/>
                    </w:pPr>
                    <w:r>
                      <w:fldChar w:fldCharType="begin"/>
                    </w:r>
                    <w:r>
                      <w:instrText xml:space="preserve"> DOCPROPERTY  "iOnsKenmerk"  \* MERGEFORMAT </w:instrText>
                    </w:r>
                    <w:r>
                      <w:fldChar w:fldCharType="separate"/>
                    </w:r>
                    <w:r w:rsidR="001B38BD">
                      <w:t>2020-0000168540</w:t>
                    </w:r>
                    <w:r>
                      <w:fldChar w:fldCharType="end"/>
                    </w:r>
                  </w:p>
                  <w:p w14:paraId="3B81956B" w14:textId="77777777" w:rsidR="00C712F4" w:rsidRDefault="00C712F4">
                    <w:pPr>
                      <w:pStyle w:val="WitregelW1"/>
                    </w:pPr>
                  </w:p>
                  <w:p w14:paraId="754E0907" w14:textId="339A59C5" w:rsidR="00C712F4" w:rsidRDefault="00C712F4">
                    <w:pPr>
                      <w:pStyle w:val="Referentiegegevens"/>
                    </w:pPr>
                    <w:r>
                      <w:fldChar w:fldCharType="begin"/>
                    </w:r>
                    <w:r>
                      <w:instrText xml:space="preserve"> DOCPROPERTY  "iUwBrief"  \* MERGEFORMAT </w:instrText>
                    </w:r>
                    <w:r>
                      <w:fldChar w:fldCharType="end"/>
                    </w:r>
                  </w:p>
                  <w:p w14:paraId="4DBD459B" w14:textId="77777777" w:rsidR="00C712F4" w:rsidRDefault="00C712F4">
                    <w:pPr>
                      <w:pStyle w:val="WitregelW1"/>
                    </w:pPr>
                  </w:p>
                  <w:p w14:paraId="71243315" w14:textId="1E275D81" w:rsidR="00C712F4" w:rsidRDefault="00C712F4">
                    <w:pPr>
                      <w:pStyle w:val="Referentiegegevens"/>
                    </w:pPr>
                    <w:r>
                      <w:fldChar w:fldCharType="begin"/>
                    </w:r>
                    <w:r>
                      <w:instrText xml:space="preserve"> DOCPROPERTY  "iCC"  \* MERGEFORMAT </w:instrText>
                    </w:r>
                    <w:r>
                      <w:fldChar w:fldCharType="end"/>
                    </w:r>
                  </w:p>
                  <w:p w14:paraId="14C89C6D" w14:textId="77777777" w:rsidR="00C712F4" w:rsidRDefault="00C712F4">
                    <w:pPr>
                      <w:pStyle w:val="WitregelW1"/>
                    </w:pPr>
                  </w:p>
                  <w:p w14:paraId="6F25B55F" w14:textId="59B6C329" w:rsidR="00C712F4" w:rsidRDefault="00C712F4">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6D67BB0E" wp14:editId="3F7FF1E3">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22656782" w14:textId="77777777" w:rsidR="00C712F4" w:rsidRDefault="00C712F4">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6D67BB0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22656782" w14:textId="77777777" w:rsidR="00C712F4" w:rsidRDefault="00C712F4">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A6F573A" wp14:editId="0C7203AC">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38B946E3" w14:textId="77777777" w:rsidR="001B38BD" w:rsidRDefault="00C712F4">
                          <w:r>
                            <w:fldChar w:fldCharType="begin"/>
                          </w:r>
                          <w:r>
                            <w:instrText xml:space="preserve"> DOCPROPERTY  "iAdressering"  \* MERGEFORMAT </w:instrText>
                          </w:r>
                          <w:r>
                            <w:fldChar w:fldCharType="separate"/>
                          </w:r>
                          <w:r w:rsidR="001B38BD">
                            <w:t xml:space="preserve">De voorzitter van de Tweede Kamer </w:t>
                          </w:r>
                        </w:p>
                        <w:p w14:paraId="025A37A1" w14:textId="7D2A9324" w:rsidR="00C712F4" w:rsidRDefault="001B38BD">
                          <w:r>
                            <w:t>der Staten-Generaal</w:t>
                          </w:r>
                          <w:r w:rsidR="00C712F4">
                            <w:fldChar w:fldCharType="end"/>
                          </w:r>
                        </w:p>
                        <w:p w14:paraId="5A14D675" w14:textId="2DBD16DE" w:rsidR="00C712F4" w:rsidRDefault="0046218E">
                          <w:r>
                            <w:fldChar w:fldCharType="begin"/>
                          </w:r>
                          <w:r>
                            <w:instrText xml:space="preserve"> DOCPROPERTY  "iStraat"  \* MERGEFORMAT </w:instrText>
                          </w:r>
                          <w:r>
                            <w:fldChar w:fldCharType="separate"/>
                          </w:r>
                          <w:r w:rsidR="001B38BD">
                            <w:t>Binnenhof</w:t>
                          </w:r>
                          <w:r>
                            <w:fldChar w:fldCharType="end"/>
                          </w:r>
                          <w:r w:rsidR="00C712F4">
                            <w:t xml:space="preserve"> </w:t>
                          </w:r>
                          <w:r>
                            <w:fldChar w:fldCharType="begin"/>
                          </w:r>
                          <w:r>
                            <w:instrText xml:space="preserve"> DOCPROPERTY  "iNr"  \* MERGEFORMAT </w:instrText>
                          </w:r>
                          <w:r>
                            <w:fldChar w:fldCharType="separate"/>
                          </w:r>
                          <w:r w:rsidR="001B38BD">
                            <w:t>1A</w:t>
                          </w:r>
                          <w:r>
                            <w:fldChar w:fldCharType="end"/>
                          </w:r>
                          <w:r w:rsidR="00C712F4">
                            <w:fldChar w:fldCharType="begin"/>
                          </w:r>
                          <w:r w:rsidR="00C712F4">
                            <w:instrText xml:space="preserve"> DOCPROPERTY  "iToev"  \* MERGEFORMAT </w:instrText>
                          </w:r>
                          <w:r w:rsidR="00C712F4">
                            <w:fldChar w:fldCharType="end"/>
                          </w:r>
                        </w:p>
                        <w:p w14:paraId="6C741E78" w14:textId="527E07CF" w:rsidR="00C712F4" w:rsidRDefault="0046218E">
                          <w:r>
                            <w:fldChar w:fldCharType="begin"/>
                          </w:r>
                          <w:r>
                            <w:instrText xml:space="preserve"> DOCPROPERTY  "iPostcode"  \* MERGEFORMAT </w:instrText>
                          </w:r>
                          <w:r>
                            <w:fldChar w:fldCharType="separate"/>
                          </w:r>
                          <w:r w:rsidR="001B38BD">
                            <w:t>2513 AA</w:t>
                          </w:r>
                          <w:r>
                            <w:fldChar w:fldCharType="end"/>
                          </w:r>
                          <w:r w:rsidR="00C712F4">
                            <w:t xml:space="preserve">  </w:t>
                          </w:r>
                          <w:r>
                            <w:fldChar w:fldCharType="begin"/>
                          </w:r>
                          <w:r>
                            <w:instrText xml:space="preserve"> DOCPROPERTY  "iPlaats"  \* MERGEFORMAT </w:instrText>
                          </w:r>
                          <w:r>
                            <w:fldChar w:fldCharType="separate"/>
                          </w:r>
                          <w:r w:rsidR="001B38BD">
                            <w:t>Den Haag</w:t>
                          </w:r>
                          <w:r>
                            <w:fldChar w:fldCharType="end"/>
                          </w:r>
                        </w:p>
                        <w:p w14:paraId="3DC1DBE1" w14:textId="08FFB33C" w:rsidR="00C712F4" w:rsidRDefault="0046218E">
                          <w:pPr>
                            <w:pStyle w:val="KixCode"/>
                          </w:pPr>
                          <w:r>
                            <w:fldChar w:fldCharType="begin"/>
                          </w:r>
                          <w:r>
                            <w:instrText xml:space="preserve"> DOCPROPERTY  "iKixcode"  \* MERGEFORMAT </w:instrText>
                          </w:r>
                          <w:r>
                            <w:fldChar w:fldCharType="separate"/>
                          </w:r>
                          <w:r w:rsidR="001B38BD">
                            <w:t>2513 AA1XA</w:t>
                          </w:r>
                          <w:r>
                            <w:fldChar w:fldCharType="end"/>
                          </w:r>
                        </w:p>
                      </w:txbxContent>
                    </wps:txbx>
                    <wps:bodyPr vert="horz" wrap="square" lIns="0" tIns="0" rIns="0" bIns="0" anchor="t" anchorCtr="0"/>
                  </wps:wsp>
                </a:graphicData>
              </a:graphic>
            </wp:anchor>
          </w:drawing>
        </mc:Choice>
        <mc:Fallback>
          <w:pict>
            <v:shape w14:anchorId="2A6F573A"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38B946E3" w14:textId="77777777" w:rsidR="001B38BD" w:rsidRDefault="00C712F4">
                    <w:r>
                      <w:fldChar w:fldCharType="begin"/>
                    </w:r>
                    <w:r>
                      <w:instrText xml:space="preserve"> DOCPROPERTY  "iAdressering"  \* MERGEFORMAT </w:instrText>
                    </w:r>
                    <w:r>
                      <w:fldChar w:fldCharType="separate"/>
                    </w:r>
                    <w:r w:rsidR="001B38BD">
                      <w:t xml:space="preserve">De voorzitter van de Tweede Kamer </w:t>
                    </w:r>
                  </w:p>
                  <w:p w14:paraId="025A37A1" w14:textId="7D2A9324" w:rsidR="00C712F4" w:rsidRDefault="001B38BD">
                    <w:r>
                      <w:t>der Staten-Generaal</w:t>
                    </w:r>
                    <w:r w:rsidR="00C712F4">
                      <w:fldChar w:fldCharType="end"/>
                    </w:r>
                  </w:p>
                  <w:p w14:paraId="5A14D675" w14:textId="2DBD16DE" w:rsidR="00C712F4" w:rsidRDefault="0046218E">
                    <w:r>
                      <w:fldChar w:fldCharType="begin"/>
                    </w:r>
                    <w:r>
                      <w:instrText xml:space="preserve"> DOCPROPERTY  "iStraat"  \* MERGEFORMAT </w:instrText>
                    </w:r>
                    <w:r>
                      <w:fldChar w:fldCharType="separate"/>
                    </w:r>
                    <w:r w:rsidR="001B38BD">
                      <w:t>Binnenhof</w:t>
                    </w:r>
                    <w:r>
                      <w:fldChar w:fldCharType="end"/>
                    </w:r>
                    <w:r w:rsidR="00C712F4">
                      <w:t xml:space="preserve"> </w:t>
                    </w:r>
                    <w:r>
                      <w:fldChar w:fldCharType="begin"/>
                    </w:r>
                    <w:r>
                      <w:instrText xml:space="preserve"> DOCPROPERTY  "iNr"  \* MERGEFORMAT </w:instrText>
                    </w:r>
                    <w:r>
                      <w:fldChar w:fldCharType="separate"/>
                    </w:r>
                    <w:r w:rsidR="001B38BD">
                      <w:t>1A</w:t>
                    </w:r>
                    <w:r>
                      <w:fldChar w:fldCharType="end"/>
                    </w:r>
                    <w:r w:rsidR="00C712F4">
                      <w:fldChar w:fldCharType="begin"/>
                    </w:r>
                    <w:r w:rsidR="00C712F4">
                      <w:instrText xml:space="preserve"> DOCPROPERTY  "iToev"  \* MERGEFORMAT </w:instrText>
                    </w:r>
                    <w:r w:rsidR="00C712F4">
                      <w:fldChar w:fldCharType="end"/>
                    </w:r>
                  </w:p>
                  <w:p w14:paraId="6C741E78" w14:textId="527E07CF" w:rsidR="00C712F4" w:rsidRDefault="0046218E">
                    <w:r>
                      <w:fldChar w:fldCharType="begin"/>
                    </w:r>
                    <w:r>
                      <w:instrText xml:space="preserve"> DOCPROPERTY  "iPostcode"  \* MERGEFORMAT </w:instrText>
                    </w:r>
                    <w:r>
                      <w:fldChar w:fldCharType="separate"/>
                    </w:r>
                    <w:r w:rsidR="001B38BD">
                      <w:t>2513 AA</w:t>
                    </w:r>
                    <w:r>
                      <w:fldChar w:fldCharType="end"/>
                    </w:r>
                    <w:r w:rsidR="00C712F4">
                      <w:t xml:space="preserve">  </w:t>
                    </w:r>
                    <w:r>
                      <w:fldChar w:fldCharType="begin"/>
                    </w:r>
                    <w:r>
                      <w:instrText xml:space="preserve"> DOCPROPERTY  "iPlaats"  \* MERGEFORMAT </w:instrText>
                    </w:r>
                    <w:r>
                      <w:fldChar w:fldCharType="separate"/>
                    </w:r>
                    <w:r w:rsidR="001B38BD">
                      <w:t>Den Haag</w:t>
                    </w:r>
                    <w:r>
                      <w:fldChar w:fldCharType="end"/>
                    </w:r>
                  </w:p>
                  <w:p w14:paraId="3DC1DBE1" w14:textId="08FFB33C" w:rsidR="00C712F4" w:rsidRDefault="0046218E">
                    <w:pPr>
                      <w:pStyle w:val="KixCode"/>
                    </w:pPr>
                    <w:r>
                      <w:fldChar w:fldCharType="begin"/>
                    </w:r>
                    <w:r>
                      <w:instrText xml:space="preserve"> DOCPROPERTY  "iKixcode"  \* MERGEFORMAT </w:instrText>
                    </w:r>
                    <w:r>
                      <w:fldChar w:fldCharType="separate"/>
                    </w:r>
                    <w:r w:rsidR="001B38BD">
                      <w:t>2513 AA1XA</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D03886C" wp14:editId="5B954DC8">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C712F4" w14:paraId="41544418" w14:textId="77777777">
                            <w:trPr>
                              <w:trHeight w:val="200"/>
                            </w:trPr>
                            <w:tc>
                              <w:tcPr>
                                <w:tcW w:w="1134" w:type="dxa"/>
                              </w:tcPr>
                              <w:p w14:paraId="623BC4AE" w14:textId="77777777" w:rsidR="00C712F4" w:rsidRDefault="00C712F4"/>
                            </w:tc>
                            <w:tc>
                              <w:tcPr>
                                <w:tcW w:w="5244" w:type="dxa"/>
                              </w:tcPr>
                              <w:p w14:paraId="29F54491" w14:textId="77777777" w:rsidR="00C712F4" w:rsidRDefault="00C712F4"/>
                            </w:tc>
                          </w:tr>
                          <w:tr w:rsidR="00C712F4" w14:paraId="27AF4A38" w14:textId="77777777">
                            <w:trPr>
                              <w:trHeight w:val="240"/>
                            </w:trPr>
                            <w:tc>
                              <w:tcPr>
                                <w:tcW w:w="1134" w:type="dxa"/>
                              </w:tcPr>
                              <w:p w14:paraId="58C52941" w14:textId="77777777" w:rsidR="00C712F4" w:rsidRDefault="00C712F4">
                                <w:r>
                                  <w:t>Datum</w:t>
                                </w:r>
                              </w:p>
                            </w:tc>
                            <w:tc>
                              <w:tcPr>
                                <w:tcW w:w="5244" w:type="dxa"/>
                              </w:tcPr>
                              <w:p w14:paraId="1ECC88F8" w14:textId="2FE53FB4" w:rsidR="00C712F4" w:rsidRDefault="00EC497A">
                                <w:r>
                                  <w:t>17 december 2020</w:t>
                                </w:r>
                              </w:p>
                            </w:tc>
                          </w:tr>
                          <w:tr w:rsidR="00C712F4" w14:paraId="06C51407" w14:textId="77777777">
                            <w:trPr>
                              <w:trHeight w:val="240"/>
                            </w:trPr>
                            <w:tc>
                              <w:tcPr>
                                <w:tcW w:w="1134" w:type="dxa"/>
                              </w:tcPr>
                              <w:p w14:paraId="0ABEFBB2" w14:textId="77777777" w:rsidR="00C712F4" w:rsidRDefault="00C712F4">
                                <w:r>
                                  <w:t>Betreft</w:t>
                                </w:r>
                              </w:p>
                            </w:tc>
                            <w:tc>
                              <w:tcPr>
                                <w:tcW w:w="5244" w:type="dxa"/>
                              </w:tcPr>
                              <w:p w14:paraId="5BCA9BBA" w14:textId="10170B8F" w:rsidR="00C712F4" w:rsidRDefault="0046218E">
                                <w:r>
                                  <w:fldChar w:fldCharType="begin"/>
                                </w:r>
                                <w:r>
                                  <w:instrText xml:space="preserve"> DOCPROPERTY  "iOnderwerp"  \* MERGEFORMAT </w:instrText>
                                </w:r>
                                <w:r>
                                  <w:fldChar w:fldCharType="separate"/>
                                </w:r>
                                <w:r w:rsidR="001B38BD">
                                  <w:t>Analyse WIA en ZW</w:t>
                                </w:r>
                                <w:r>
                                  <w:fldChar w:fldCharType="end"/>
                                </w:r>
                              </w:p>
                            </w:tc>
                          </w:tr>
                          <w:tr w:rsidR="00C712F4" w14:paraId="4057FD14" w14:textId="77777777">
                            <w:trPr>
                              <w:trHeight w:val="200"/>
                            </w:trPr>
                            <w:tc>
                              <w:tcPr>
                                <w:tcW w:w="1134" w:type="dxa"/>
                              </w:tcPr>
                              <w:p w14:paraId="519E01C5" w14:textId="77777777" w:rsidR="00C712F4" w:rsidRDefault="00C712F4"/>
                            </w:tc>
                            <w:tc>
                              <w:tcPr>
                                <w:tcW w:w="5244" w:type="dxa"/>
                              </w:tcPr>
                              <w:p w14:paraId="35B6C95E" w14:textId="77777777" w:rsidR="00C712F4" w:rsidRDefault="00C712F4"/>
                            </w:tc>
                          </w:tr>
                        </w:tbl>
                        <w:p w14:paraId="0A94D19E" w14:textId="77777777" w:rsidR="00C712F4" w:rsidRDefault="00C712F4"/>
                      </w:txbxContent>
                    </wps:txbx>
                    <wps:bodyPr vert="horz" wrap="square" lIns="0" tIns="0" rIns="0" bIns="0" anchor="t" anchorCtr="0"/>
                  </wps:wsp>
                </a:graphicData>
              </a:graphic>
            </wp:anchor>
          </w:drawing>
        </mc:Choice>
        <mc:Fallback>
          <w:pict>
            <v:shape w14:anchorId="0D03886C"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C712F4" w14:paraId="41544418" w14:textId="77777777">
                      <w:trPr>
                        <w:trHeight w:val="200"/>
                      </w:trPr>
                      <w:tc>
                        <w:tcPr>
                          <w:tcW w:w="1134" w:type="dxa"/>
                        </w:tcPr>
                        <w:p w14:paraId="623BC4AE" w14:textId="77777777" w:rsidR="00C712F4" w:rsidRDefault="00C712F4"/>
                      </w:tc>
                      <w:tc>
                        <w:tcPr>
                          <w:tcW w:w="5244" w:type="dxa"/>
                        </w:tcPr>
                        <w:p w14:paraId="29F54491" w14:textId="77777777" w:rsidR="00C712F4" w:rsidRDefault="00C712F4"/>
                      </w:tc>
                    </w:tr>
                    <w:tr w:rsidR="00C712F4" w14:paraId="27AF4A38" w14:textId="77777777">
                      <w:trPr>
                        <w:trHeight w:val="240"/>
                      </w:trPr>
                      <w:tc>
                        <w:tcPr>
                          <w:tcW w:w="1134" w:type="dxa"/>
                        </w:tcPr>
                        <w:p w14:paraId="58C52941" w14:textId="77777777" w:rsidR="00C712F4" w:rsidRDefault="00C712F4">
                          <w:r>
                            <w:t>Datum</w:t>
                          </w:r>
                        </w:p>
                      </w:tc>
                      <w:tc>
                        <w:tcPr>
                          <w:tcW w:w="5244" w:type="dxa"/>
                        </w:tcPr>
                        <w:p w14:paraId="1ECC88F8" w14:textId="2FE53FB4" w:rsidR="00C712F4" w:rsidRDefault="00EC497A">
                          <w:r>
                            <w:t>17 december 2020</w:t>
                          </w:r>
                        </w:p>
                      </w:tc>
                    </w:tr>
                    <w:tr w:rsidR="00C712F4" w14:paraId="06C51407" w14:textId="77777777">
                      <w:trPr>
                        <w:trHeight w:val="240"/>
                      </w:trPr>
                      <w:tc>
                        <w:tcPr>
                          <w:tcW w:w="1134" w:type="dxa"/>
                        </w:tcPr>
                        <w:p w14:paraId="0ABEFBB2" w14:textId="77777777" w:rsidR="00C712F4" w:rsidRDefault="00C712F4">
                          <w:r>
                            <w:t>Betreft</w:t>
                          </w:r>
                        </w:p>
                      </w:tc>
                      <w:tc>
                        <w:tcPr>
                          <w:tcW w:w="5244" w:type="dxa"/>
                        </w:tcPr>
                        <w:p w14:paraId="5BCA9BBA" w14:textId="10170B8F" w:rsidR="00C712F4" w:rsidRDefault="0046218E">
                          <w:r>
                            <w:fldChar w:fldCharType="begin"/>
                          </w:r>
                          <w:r>
                            <w:instrText xml:space="preserve"> DOCPROPERTY  "iOnderwerp"  \* MERGEFORMAT </w:instrText>
                          </w:r>
                          <w:r>
                            <w:fldChar w:fldCharType="separate"/>
                          </w:r>
                          <w:r w:rsidR="001B38BD">
                            <w:t>Analyse WIA en ZW</w:t>
                          </w:r>
                          <w:r>
                            <w:fldChar w:fldCharType="end"/>
                          </w:r>
                        </w:p>
                      </w:tc>
                    </w:tr>
                    <w:tr w:rsidR="00C712F4" w14:paraId="4057FD14" w14:textId="77777777">
                      <w:trPr>
                        <w:trHeight w:val="200"/>
                      </w:trPr>
                      <w:tc>
                        <w:tcPr>
                          <w:tcW w:w="1134" w:type="dxa"/>
                        </w:tcPr>
                        <w:p w14:paraId="519E01C5" w14:textId="77777777" w:rsidR="00C712F4" w:rsidRDefault="00C712F4"/>
                      </w:tc>
                      <w:tc>
                        <w:tcPr>
                          <w:tcW w:w="5244" w:type="dxa"/>
                        </w:tcPr>
                        <w:p w14:paraId="35B6C95E" w14:textId="77777777" w:rsidR="00C712F4" w:rsidRDefault="00C712F4"/>
                      </w:tc>
                    </w:tr>
                  </w:tbl>
                  <w:p w14:paraId="0A94D19E" w14:textId="77777777" w:rsidR="00C712F4" w:rsidRDefault="00C712F4"/>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9D5D47E" wp14:editId="6B45894A">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C038270" w14:textId="64EE5074" w:rsidR="00C712F4" w:rsidRDefault="00C712F4">
                          <w:pPr>
                            <w:pStyle w:val="Afzendgegevens"/>
                          </w:pPr>
                          <w:r>
                            <w:t xml:space="preserve">Pagina </w:t>
                          </w:r>
                          <w:r>
                            <w:fldChar w:fldCharType="begin"/>
                          </w:r>
                          <w:r>
                            <w:instrText>PAGE</w:instrText>
                          </w:r>
                          <w:r>
                            <w:fldChar w:fldCharType="separate"/>
                          </w:r>
                          <w:r w:rsidR="001B38BD">
                            <w:rPr>
                              <w:noProof/>
                            </w:rPr>
                            <w:t>1</w:t>
                          </w:r>
                          <w:r>
                            <w:fldChar w:fldCharType="end"/>
                          </w:r>
                          <w:r>
                            <w:t xml:space="preserve"> van </w:t>
                          </w:r>
                          <w:r>
                            <w:fldChar w:fldCharType="begin"/>
                          </w:r>
                          <w:r>
                            <w:instrText>NUMPAGES</w:instrText>
                          </w:r>
                          <w:r>
                            <w:fldChar w:fldCharType="separate"/>
                          </w:r>
                          <w:r w:rsidR="001B38BD">
                            <w:rPr>
                              <w:noProof/>
                            </w:rPr>
                            <w:t>14</w:t>
                          </w:r>
                          <w:r>
                            <w:fldChar w:fldCharType="end"/>
                          </w:r>
                        </w:p>
                      </w:txbxContent>
                    </wps:txbx>
                    <wps:bodyPr vert="horz" wrap="square" lIns="0" tIns="0" rIns="0" bIns="0" anchor="t" anchorCtr="0"/>
                  </wps:wsp>
                </a:graphicData>
              </a:graphic>
            </wp:anchor>
          </w:drawing>
        </mc:Choice>
        <mc:Fallback>
          <w:pict>
            <v:shape w14:anchorId="09D5D47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7C038270" w14:textId="64EE5074" w:rsidR="00C712F4" w:rsidRDefault="00C712F4">
                    <w:pPr>
                      <w:pStyle w:val="Afzendgegevens"/>
                    </w:pPr>
                    <w:r>
                      <w:t xml:space="preserve">Pagina </w:t>
                    </w:r>
                    <w:r>
                      <w:fldChar w:fldCharType="begin"/>
                    </w:r>
                    <w:r>
                      <w:instrText>PAGE</w:instrText>
                    </w:r>
                    <w:r>
                      <w:fldChar w:fldCharType="separate"/>
                    </w:r>
                    <w:r w:rsidR="001B38BD">
                      <w:rPr>
                        <w:noProof/>
                      </w:rPr>
                      <w:t>1</w:t>
                    </w:r>
                    <w:r>
                      <w:fldChar w:fldCharType="end"/>
                    </w:r>
                    <w:r>
                      <w:t xml:space="preserve"> van </w:t>
                    </w:r>
                    <w:r>
                      <w:fldChar w:fldCharType="begin"/>
                    </w:r>
                    <w:r>
                      <w:instrText>NUMPAGES</w:instrText>
                    </w:r>
                    <w:r>
                      <w:fldChar w:fldCharType="separate"/>
                    </w:r>
                    <w:r w:rsidR="001B38BD">
                      <w:rPr>
                        <w:noProof/>
                      </w:rPr>
                      <w:t>14</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270AD0"/>
    <w:multiLevelType w:val="multilevel"/>
    <w:tmpl w:val="C200A280"/>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3595FB1"/>
    <w:multiLevelType w:val="multilevel"/>
    <w:tmpl w:val="F46EA90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F26D7C"/>
    <w:multiLevelType w:val="hybridMultilevel"/>
    <w:tmpl w:val="8A6CDB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5361CD"/>
    <w:multiLevelType w:val="hybridMultilevel"/>
    <w:tmpl w:val="0178AAB4"/>
    <w:lvl w:ilvl="0" w:tplc="E708BFB2">
      <w:start w:val="1"/>
      <w:numFmt w:val="decimal"/>
      <w:lvlText w:val="%1)"/>
      <w:lvlJc w:val="left"/>
      <w:pPr>
        <w:ind w:left="1353" w:hanging="360"/>
      </w:pPr>
    </w:lvl>
    <w:lvl w:ilvl="1" w:tplc="04130019">
      <w:start w:val="1"/>
      <w:numFmt w:val="lowerLetter"/>
      <w:lvlText w:val="%2."/>
      <w:lvlJc w:val="left"/>
      <w:pPr>
        <w:ind w:left="2073" w:hanging="360"/>
      </w:pPr>
    </w:lvl>
    <w:lvl w:ilvl="2" w:tplc="0413001B">
      <w:start w:val="1"/>
      <w:numFmt w:val="lowerRoman"/>
      <w:lvlText w:val="%3."/>
      <w:lvlJc w:val="right"/>
      <w:pPr>
        <w:ind w:left="2793" w:hanging="180"/>
      </w:pPr>
    </w:lvl>
    <w:lvl w:ilvl="3" w:tplc="0413000F">
      <w:start w:val="1"/>
      <w:numFmt w:val="decimal"/>
      <w:lvlText w:val="%4."/>
      <w:lvlJc w:val="left"/>
      <w:pPr>
        <w:ind w:left="3513" w:hanging="360"/>
      </w:pPr>
    </w:lvl>
    <w:lvl w:ilvl="4" w:tplc="04130019">
      <w:start w:val="1"/>
      <w:numFmt w:val="lowerLetter"/>
      <w:lvlText w:val="%5."/>
      <w:lvlJc w:val="left"/>
      <w:pPr>
        <w:ind w:left="4233" w:hanging="360"/>
      </w:pPr>
    </w:lvl>
    <w:lvl w:ilvl="5" w:tplc="0413001B">
      <w:start w:val="1"/>
      <w:numFmt w:val="lowerRoman"/>
      <w:lvlText w:val="%6."/>
      <w:lvlJc w:val="right"/>
      <w:pPr>
        <w:ind w:left="4953" w:hanging="180"/>
      </w:pPr>
    </w:lvl>
    <w:lvl w:ilvl="6" w:tplc="0413000F">
      <w:start w:val="1"/>
      <w:numFmt w:val="decimal"/>
      <w:lvlText w:val="%7."/>
      <w:lvlJc w:val="left"/>
      <w:pPr>
        <w:ind w:left="5673" w:hanging="360"/>
      </w:pPr>
    </w:lvl>
    <w:lvl w:ilvl="7" w:tplc="04130019">
      <w:start w:val="1"/>
      <w:numFmt w:val="lowerLetter"/>
      <w:lvlText w:val="%8."/>
      <w:lvlJc w:val="left"/>
      <w:pPr>
        <w:ind w:left="6393" w:hanging="360"/>
      </w:pPr>
    </w:lvl>
    <w:lvl w:ilvl="8" w:tplc="0413001B">
      <w:start w:val="1"/>
      <w:numFmt w:val="lowerRoman"/>
      <w:lvlText w:val="%9."/>
      <w:lvlJc w:val="right"/>
      <w:pPr>
        <w:ind w:left="7113" w:hanging="180"/>
      </w:pPr>
    </w:lvl>
  </w:abstractNum>
  <w:abstractNum w:abstractNumId="4" w15:restartNumberingAfterBreak="0">
    <w:nsid w:val="1896550E"/>
    <w:multiLevelType w:val="hybridMultilevel"/>
    <w:tmpl w:val="31749A28"/>
    <w:lvl w:ilvl="0" w:tplc="03C88344">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2175D7"/>
    <w:multiLevelType w:val="hybridMultilevel"/>
    <w:tmpl w:val="F730AB30"/>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A26CCB"/>
    <w:multiLevelType w:val="hybridMultilevel"/>
    <w:tmpl w:val="A5B6B3B8"/>
    <w:lvl w:ilvl="0" w:tplc="E572C34A">
      <w:start w:val="2"/>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EE308D"/>
    <w:multiLevelType w:val="hybridMultilevel"/>
    <w:tmpl w:val="5714F4D6"/>
    <w:lvl w:ilvl="0" w:tplc="62C6DEC8">
      <w:start w:val="3"/>
      <w:numFmt w:val="bullet"/>
      <w:lvlText w:val=""/>
      <w:lvlJc w:val="left"/>
      <w:pPr>
        <w:ind w:left="786" w:hanging="360"/>
      </w:pPr>
      <w:rPr>
        <w:rFonts w:ascii="Wingdings" w:eastAsiaTheme="minorHAnsi" w:hAnsi="Wingdings"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28945D73"/>
    <w:multiLevelType w:val="hybridMultilevel"/>
    <w:tmpl w:val="5A3AF906"/>
    <w:lvl w:ilvl="0" w:tplc="1312FC58">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2E315F4"/>
    <w:multiLevelType w:val="hybridMultilevel"/>
    <w:tmpl w:val="B2644F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B038B6"/>
    <w:multiLevelType w:val="multilevel"/>
    <w:tmpl w:val="332717E1"/>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4CF1B8"/>
    <w:multiLevelType w:val="multilevel"/>
    <w:tmpl w:val="15F6497C"/>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B75030"/>
    <w:multiLevelType w:val="hybridMultilevel"/>
    <w:tmpl w:val="F6EC61C6"/>
    <w:lvl w:ilvl="0" w:tplc="3B103F9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0A2CDB"/>
    <w:multiLevelType w:val="hybridMultilevel"/>
    <w:tmpl w:val="D7B60214"/>
    <w:lvl w:ilvl="0" w:tplc="F4447166">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719914A0"/>
    <w:multiLevelType w:val="multilevel"/>
    <w:tmpl w:val="00B3A25E"/>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85F05A"/>
    <w:multiLevelType w:val="multilevel"/>
    <w:tmpl w:val="27E63977"/>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0"/>
  </w:num>
  <w:num w:numId="4">
    <w:abstractNumId w:val="14"/>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6"/>
  </w:num>
  <w:num w:numId="11">
    <w:abstractNumId w:val="4"/>
  </w:num>
  <w:num w:numId="12">
    <w:abstractNumId w:val="13"/>
  </w:num>
  <w:num w:numId="13">
    <w:abstractNumId w:val="8"/>
  </w:num>
  <w:num w:numId="14">
    <w:abstractNumId w:val="3"/>
  </w:num>
  <w:num w:numId="15">
    <w:abstractNumId w:val="9"/>
  </w:num>
  <w:num w:numId="16">
    <w:abstractNumId w:val="12"/>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E8"/>
    <w:rsid w:val="00000B4C"/>
    <w:rsid w:val="00003D9B"/>
    <w:rsid w:val="00006404"/>
    <w:rsid w:val="00027C27"/>
    <w:rsid w:val="00032B09"/>
    <w:rsid w:val="00035FD2"/>
    <w:rsid w:val="00050F84"/>
    <w:rsid w:val="00057085"/>
    <w:rsid w:val="00066FA0"/>
    <w:rsid w:val="00076E99"/>
    <w:rsid w:val="000D4338"/>
    <w:rsid w:val="000D6A46"/>
    <w:rsid w:val="000E7F57"/>
    <w:rsid w:val="000F19F0"/>
    <w:rsid w:val="0010663B"/>
    <w:rsid w:val="00111B9F"/>
    <w:rsid w:val="001237F4"/>
    <w:rsid w:val="00134EB9"/>
    <w:rsid w:val="00136D24"/>
    <w:rsid w:val="001420F5"/>
    <w:rsid w:val="0014662B"/>
    <w:rsid w:val="001610D1"/>
    <w:rsid w:val="00175EA3"/>
    <w:rsid w:val="001845C4"/>
    <w:rsid w:val="00184DD1"/>
    <w:rsid w:val="00190BCC"/>
    <w:rsid w:val="00193EFA"/>
    <w:rsid w:val="00194090"/>
    <w:rsid w:val="00197D06"/>
    <w:rsid w:val="001B38BD"/>
    <w:rsid w:val="001B52F7"/>
    <w:rsid w:val="001B788D"/>
    <w:rsid w:val="001C453A"/>
    <w:rsid w:val="001C6D8C"/>
    <w:rsid w:val="001D06CD"/>
    <w:rsid w:val="001E1CFF"/>
    <w:rsid w:val="001E7E4F"/>
    <w:rsid w:val="00200C91"/>
    <w:rsid w:val="0020799E"/>
    <w:rsid w:val="002172FA"/>
    <w:rsid w:val="00223337"/>
    <w:rsid w:val="00224D76"/>
    <w:rsid w:val="00227CBF"/>
    <w:rsid w:val="00272CFE"/>
    <w:rsid w:val="002779CF"/>
    <w:rsid w:val="00282642"/>
    <w:rsid w:val="00283AA0"/>
    <w:rsid w:val="002A0A26"/>
    <w:rsid w:val="002A21B5"/>
    <w:rsid w:val="002B1717"/>
    <w:rsid w:val="002B68DB"/>
    <w:rsid w:val="002C21D0"/>
    <w:rsid w:val="002C58DA"/>
    <w:rsid w:val="002D27EE"/>
    <w:rsid w:val="002E2526"/>
    <w:rsid w:val="002E6540"/>
    <w:rsid w:val="00310526"/>
    <w:rsid w:val="00315FBE"/>
    <w:rsid w:val="003244D1"/>
    <w:rsid w:val="0033046D"/>
    <w:rsid w:val="00341B7C"/>
    <w:rsid w:val="003459C3"/>
    <w:rsid w:val="00346B8D"/>
    <w:rsid w:val="0035176B"/>
    <w:rsid w:val="00352F71"/>
    <w:rsid w:val="00354445"/>
    <w:rsid w:val="003556C9"/>
    <w:rsid w:val="00356863"/>
    <w:rsid w:val="003674AC"/>
    <w:rsid w:val="0038264B"/>
    <w:rsid w:val="00397BB2"/>
    <w:rsid w:val="003C396E"/>
    <w:rsid w:val="003C7602"/>
    <w:rsid w:val="003D6F2B"/>
    <w:rsid w:val="003F5FE8"/>
    <w:rsid w:val="00417E19"/>
    <w:rsid w:val="00431A3C"/>
    <w:rsid w:val="0046218E"/>
    <w:rsid w:val="00466E50"/>
    <w:rsid w:val="00475898"/>
    <w:rsid w:val="004A217A"/>
    <w:rsid w:val="004B0EC1"/>
    <w:rsid w:val="004B7BD3"/>
    <w:rsid w:val="004C633F"/>
    <w:rsid w:val="004D57A0"/>
    <w:rsid w:val="004F63BF"/>
    <w:rsid w:val="004F7C31"/>
    <w:rsid w:val="00521A44"/>
    <w:rsid w:val="005340A9"/>
    <w:rsid w:val="00560E83"/>
    <w:rsid w:val="0056742B"/>
    <w:rsid w:val="00590B9F"/>
    <w:rsid w:val="005B6789"/>
    <w:rsid w:val="005B7ABB"/>
    <w:rsid w:val="005F65E5"/>
    <w:rsid w:val="005F7757"/>
    <w:rsid w:val="006028A3"/>
    <w:rsid w:val="00606D64"/>
    <w:rsid w:val="00615A43"/>
    <w:rsid w:val="006370CD"/>
    <w:rsid w:val="006374A1"/>
    <w:rsid w:val="006469A0"/>
    <w:rsid w:val="00656F41"/>
    <w:rsid w:val="0065727B"/>
    <w:rsid w:val="0067365D"/>
    <w:rsid w:val="00673C22"/>
    <w:rsid w:val="00675651"/>
    <w:rsid w:val="00696A3D"/>
    <w:rsid w:val="006A3001"/>
    <w:rsid w:val="006B3BD4"/>
    <w:rsid w:val="006B5BFF"/>
    <w:rsid w:val="006C004A"/>
    <w:rsid w:val="006D10CC"/>
    <w:rsid w:val="006D56E4"/>
    <w:rsid w:val="006E51A8"/>
    <w:rsid w:val="006F1208"/>
    <w:rsid w:val="006F6B60"/>
    <w:rsid w:val="00706018"/>
    <w:rsid w:val="007061F0"/>
    <w:rsid w:val="00707608"/>
    <w:rsid w:val="00724895"/>
    <w:rsid w:val="00725638"/>
    <w:rsid w:val="00732D62"/>
    <w:rsid w:val="00733969"/>
    <w:rsid w:val="00735C5E"/>
    <w:rsid w:val="00750C39"/>
    <w:rsid w:val="00755C56"/>
    <w:rsid w:val="0076750C"/>
    <w:rsid w:val="007951C6"/>
    <w:rsid w:val="0079558C"/>
    <w:rsid w:val="007B0D81"/>
    <w:rsid w:val="007B6F35"/>
    <w:rsid w:val="007C24D4"/>
    <w:rsid w:val="007D445D"/>
    <w:rsid w:val="007F2474"/>
    <w:rsid w:val="007F2C70"/>
    <w:rsid w:val="007F4903"/>
    <w:rsid w:val="008328B9"/>
    <w:rsid w:val="00837790"/>
    <w:rsid w:val="00845BEA"/>
    <w:rsid w:val="00850F77"/>
    <w:rsid w:val="00857868"/>
    <w:rsid w:val="008676BC"/>
    <w:rsid w:val="0086775E"/>
    <w:rsid w:val="00875A6F"/>
    <w:rsid w:val="0088247D"/>
    <w:rsid w:val="008872C2"/>
    <w:rsid w:val="008B1F01"/>
    <w:rsid w:val="008C0A0E"/>
    <w:rsid w:val="008C186C"/>
    <w:rsid w:val="008C18CA"/>
    <w:rsid w:val="008C524A"/>
    <w:rsid w:val="008E3CB8"/>
    <w:rsid w:val="008F418A"/>
    <w:rsid w:val="00921758"/>
    <w:rsid w:val="0092464C"/>
    <w:rsid w:val="009301A5"/>
    <w:rsid w:val="00943683"/>
    <w:rsid w:val="00944FF9"/>
    <w:rsid w:val="0096145F"/>
    <w:rsid w:val="0096561E"/>
    <w:rsid w:val="00966A40"/>
    <w:rsid w:val="009845DF"/>
    <w:rsid w:val="0099019D"/>
    <w:rsid w:val="009A6C6A"/>
    <w:rsid w:val="009B66D2"/>
    <w:rsid w:val="009B75E0"/>
    <w:rsid w:val="009C7BB5"/>
    <w:rsid w:val="009C7DF8"/>
    <w:rsid w:val="009D3BA6"/>
    <w:rsid w:val="009F6C94"/>
    <w:rsid w:val="00A065DB"/>
    <w:rsid w:val="00A12A19"/>
    <w:rsid w:val="00A16986"/>
    <w:rsid w:val="00A20B00"/>
    <w:rsid w:val="00A239BE"/>
    <w:rsid w:val="00A52D7F"/>
    <w:rsid w:val="00A52F19"/>
    <w:rsid w:val="00A53358"/>
    <w:rsid w:val="00A57256"/>
    <w:rsid w:val="00A576B6"/>
    <w:rsid w:val="00A7740F"/>
    <w:rsid w:val="00A82953"/>
    <w:rsid w:val="00A83024"/>
    <w:rsid w:val="00A879DC"/>
    <w:rsid w:val="00AA299D"/>
    <w:rsid w:val="00AA70DB"/>
    <w:rsid w:val="00AC3717"/>
    <w:rsid w:val="00AC45CF"/>
    <w:rsid w:val="00AD3FE0"/>
    <w:rsid w:val="00AF0D2F"/>
    <w:rsid w:val="00B00142"/>
    <w:rsid w:val="00B0549E"/>
    <w:rsid w:val="00B0604A"/>
    <w:rsid w:val="00B13AF0"/>
    <w:rsid w:val="00B30FFD"/>
    <w:rsid w:val="00B45358"/>
    <w:rsid w:val="00B562B5"/>
    <w:rsid w:val="00B64863"/>
    <w:rsid w:val="00B66992"/>
    <w:rsid w:val="00B9209A"/>
    <w:rsid w:val="00BA43D3"/>
    <w:rsid w:val="00BB1BBC"/>
    <w:rsid w:val="00BB7579"/>
    <w:rsid w:val="00BC18DC"/>
    <w:rsid w:val="00BC4E37"/>
    <w:rsid w:val="00BC7C07"/>
    <w:rsid w:val="00BD1D98"/>
    <w:rsid w:val="00BE27D1"/>
    <w:rsid w:val="00BE4D80"/>
    <w:rsid w:val="00C0111D"/>
    <w:rsid w:val="00C12533"/>
    <w:rsid w:val="00C2143D"/>
    <w:rsid w:val="00C234CB"/>
    <w:rsid w:val="00C3241F"/>
    <w:rsid w:val="00C45371"/>
    <w:rsid w:val="00C4736D"/>
    <w:rsid w:val="00C51C11"/>
    <w:rsid w:val="00C57BFD"/>
    <w:rsid w:val="00C67E18"/>
    <w:rsid w:val="00C70079"/>
    <w:rsid w:val="00C712F4"/>
    <w:rsid w:val="00C71613"/>
    <w:rsid w:val="00C72715"/>
    <w:rsid w:val="00C7374A"/>
    <w:rsid w:val="00C76468"/>
    <w:rsid w:val="00C814A3"/>
    <w:rsid w:val="00C83E30"/>
    <w:rsid w:val="00C8506C"/>
    <w:rsid w:val="00CD5538"/>
    <w:rsid w:val="00CE2F18"/>
    <w:rsid w:val="00D1188F"/>
    <w:rsid w:val="00D22D94"/>
    <w:rsid w:val="00D50048"/>
    <w:rsid w:val="00D56771"/>
    <w:rsid w:val="00D65CF6"/>
    <w:rsid w:val="00D70F1D"/>
    <w:rsid w:val="00D81945"/>
    <w:rsid w:val="00D91D52"/>
    <w:rsid w:val="00DB19D7"/>
    <w:rsid w:val="00DC1A44"/>
    <w:rsid w:val="00DD24A4"/>
    <w:rsid w:val="00E30B7D"/>
    <w:rsid w:val="00E37CBE"/>
    <w:rsid w:val="00E51701"/>
    <w:rsid w:val="00E64D87"/>
    <w:rsid w:val="00E71A1D"/>
    <w:rsid w:val="00E85BE1"/>
    <w:rsid w:val="00E958C1"/>
    <w:rsid w:val="00EB3E82"/>
    <w:rsid w:val="00EC497A"/>
    <w:rsid w:val="00EE11F9"/>
    <w:rsid w:val="00EF40EC"/>
    <w:rsid w:val="00EF5221"/>
    <w:rsid w:val="00F01DB1"/>
    <w:rsid w:val="00F0343D"/>
    <w:rsid w:val="00F04C9E"/>
    <w:rsid w:val="00F25238"/>
    <w:rsid w:val="00F26DBC"/>
    <w:rsid w:val="00F4090D"/>
    <w:rsid w:val="00F67255"/>
    <w:rsid w:val="00F74225"/>
    <w:rsid w:val="00F761E5"/>
    <w:rsid w:val="00F81832"/>
    <w:rsid w:val="00FE167C"/>
    <w:rsid w:val="00FE181C"/>
    <w:rsid w:val="00FE4B14"/>
    <w:rsid w:val="00FF3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5DEE5"/>
  <w15:docId w15:val="{1173EC3D-8979-4D32-B0EF-F98B2A31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uiPriority w:val="99"/>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136D24"/>
    <w:pPr>
      <w:autoSpaceDN/>
      <w:spacing w:line="240" w:lineRule="auto"/>
      <w:textAlignment w:val="auto"/>
    </w:pPr>
    <w:rPr>
      <w:rFonts w:eastAsiaTheme="minorHAnsi" w:cstheme="minorBidi"/>
      <w:color w:val="auto"/>
      <w:sz w:val="20"/>
      <w:szCs w:val="20"/>
      <w:lang w:val="en-US" w:eastAsia="en-US"/>
    </w:rPr>
  </w:style>
  <w:style w:type="character" w:customStyle="1" w:styleId="VoetnoottekstChar">
    <w:name w:val="Voetnoottekst Char"/>
    <w:basedOn w:val="Standaardalinea-lettertype"/>
    <w:link w:val="Voetnoottekst"/>
    <w:uiPriority w:val="99"/>
    <w:semiHidden/>
    <w:rsid w:val="00136D24"/>
    <w:rPr>
      <w:rFonts w:ascii="Verdana" w:eastAsiaTheme="minorHAnsi" w:hAnsi="Verdana" w:cstheme="minorBidi"/>
      <w:lang w:val="en-US" w:eastAsia="en-US"/>
    </w:rPr>
  </w:style>
  <w:style w:type="paragraph" w:styleId="Geenafstand">
    <w:name w:val="No Spacing"/>
    <w:uiPriority w:val="1"/>
    <w:qFormat/>
    <w:rsid w:val="00136D24"/>
    <w:pPr>
      <w:autoSpaceDN/>
      <w:textAlignment w:val="auto"/>
    </w:pPr>
    <w:rPr>
      <w:rFonts w:ascii="Verdana" w:eastAsiaTheme="minorHAnsi" w:hAnsi="Verdana" w:cstheme="minorBidi"/>
      <w:sz w:val="18"/>
      <w:szCs w:val="22"/>
      <w:lang w:val="en-US" w:eastAsia="en-US"/>
    </w:rPr>
  </w:style>
  <w:style w:type="character" w:styleId="Voetnootmarkering">
    <w:name w:val="footnote reference"/>
    <w:basedOn w:val="Standaardalinea-lettertype"/>
    <w:uiPriority w:val="99"/>
    <w:semiHidden/>
    <w:unhideWhenUsed/>
    <w:rsid w:val="00136D24"/>
    <w:rPr>
      <w:vertAlign w:val="superscript"/>
    </w:rPr>
  </w:style>
  <w:style w:type="character" w:styleId="Verwijzingopmerking">
    <w:name w:val="annotation reference"/>
    <w:basedOn w:val="Standaardalinea-lettertype"/>
    <w:uiPriority w:val="99"/>
    <w:semiHidden/>
    <w:unhideWhenUsed/>
    <w:rsid w:val="00C814A3"/>
    <w:rPr>
      <w:sz w:val="16"/>
      <w:szCs w:val="16"/>
    </w:rPr>
  </w:style>
  <w:style w:type="paragraph" w:styleId="Tekstopmerking">
    <w:name w:val="annotation text"/>
    <w:basedOn w:val="Standaard"/>
    <w:link w:val="TekstopmerkingChar"/>
    <w:uiPriority w:val="99"/>
    <w:unhideWhenUsed/>
    <w:rsid w:val="00C814A3"/>
    <w:pPr>
      <w:spacing w:line="240" w:lineRule="auto"/>
    </w:pPr>
    <w:rPr>
      <w:sz w:val="20"/>
      <w:szCs w:val="20"/>
    </w:rPr>
  </w:style>
  <w:style w:type="character" w:customStyle="1" w:styleId="TekstopmerkingChar">
    <w:name w:val="Tekst opmerking Char"/>
    <w:basedOn w:val="Standaardalinea-lettertype"/>
    <w:link w:val="Tekstopmerking"/>
    <w:uiPriority w:val="99"/>
    <w:rsid w:val="00C814A3"/>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C814A3"/>
    <w:rPr>
      <w:b/>
      <w:bCs/>
    </w:rPr>
  </w:style>
  <w:style w:type="character" w:customStyle="1" w:styleId="OnderwerpvanopmerkingChar">
    <w:name w:val="Onderwerp van opmerking Char"/>
    <w:basedOn w:val="TekstopmerkingChar"/>
    <w:link w:val="Onderwerpvanopmerking"/>
    <w:uiPriority w:val="99"/>
    <w:semiHidden/>
    <w:rsid w:val="00C814A3"/>
    <w:rPr>
      <w:rFonts w:ascii="Verdana" w:hAnsi="Verdana"/>
      <w:b/>
      <w:bCs/>
      <w:color w:val="000000"/>
    </w:rPr>
  </w:style>
  <w:style w:type="paragraph" w:styleId="Ballontekst">
    <w:name w:val="Balloon Text"/>
    <w:basedOn w:val="Standaard"/>
    <w:link w:val="BallontekstChar"/>
    <w:uiPriority w:val="99"/>
    <w:semiHidden/>
    <w:unhideWhenUsed/>
    <w:rsid w:val="00C814A3"/>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C814A3"/>
    <w:rPr>
      <w:rFonts w:ascii="Segoe UI" w:hAnsi="Segoe UI" w:cs="Segoe UI"/>
      <w:color w:val="000000"/>
      <w:sz w:val="18"/>
      <w:szCs w:val="18"/>
    </w:rPr>
  </w:style>
  <w:style w:type="paragraph" w:styleId="Revisie">
    <w:name w:val="Revision"/>
    <w:hidden/>
    <w:uiPriority w:val="99"/>
    <w:semiHidden/>
    <w:rsid w:val="00341B7C"/>
    <w:pPr>
      <w:autoSpaceDN/>
      <w:textAlignment w:val="auto"/>
    </w:pPr>
    <w:rPr>
      <w:rFonts w:ascii="Verdana" w:hAnsi="Verdana"/>
      <w:color w:val="000000"/>
      <w:sz w:val="18"/>
      <w:szCs w:val="18"/>
    </w:rPr>
  </w:style>
  <w:style w:type="paragraph" w:styleId="Bijschrift">
    <w:name w:val="caption"/>
    <w:basedOn w:val="Standaard"/>
    <w:next w:val="Standaard"/>
    <w:uiPriority w:val="35"/>
    <w:unhideWhenUsed/>
    <w:qFormat/>
    <w:rsid w:val="00283AA0"/>
    <w:pPr>
      <w:spacing w:after="200" w:line="240" w:lineRule="auto"/>
    </w:pPr>
    <w:rPr>
      <w:i/>
      <w:iCs/>
      <w:color w:val="44546A" w:themeColor="text2"/>
    </w:rPr>
  </w:style>
  <w:style w:type="paragraph" w:styleId="Normaalweb">
    <w:name w:val="Normal (Web)"/>
    <w:basedOn w:val="Standaard"/>
    <w:uiPriority w:val="99"/>
    <w:unhideWhenUsed/>
    <w:rsid w:val="00A82953"/>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styleId="Lijstalinea">
    <w:name w:val="List Paragraph"/>
    <w:basedOn w:val="Standaard"/>
    <w:uiPriority w:val="34"/>
    <w:qFormat/>
    <w:rsid w:val="00B00142"/>
    <w:pPr>
      <w:ind w:left="720"/>
      <w:contextualSpacing/>
    </w:pPr>
  </w:style>
  <w:style w:type="character" w:styleId="Hyperlink">
    <w:name w:val="Hyperlink"/>
    <w:basedOn w:val="Standaardalinea-lettertype"/>
    <w:uiPriority w:val="99"/>
    <w:semiHidden/>
    <w:unhideWhenUsed/>
    <w:rsid w:val="006D56E4"/>
    <w:rPr>
      <w:color w:val="0563C1" w:themeColor="hyperlink"/>
      <w:u w:val="single"/>
    </w:rPr>
  </w:style>
  <w:style w:type="table" w:styleId="Rastertabel4-Accent1">
    <w:name w:val="Grid Table 4 Accent 1"/>
    <w:basedOn w:val="Standaardtabel"/>
    <w:uiPriority w:val="49"/>
    <w:rsid w:val="006D56E4"/>
    <w:pPr>
      <w:textAlignment w:val="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raster">
    <w:name w:val="Table Grid"/>
    <w:basedOn w:val="Standaardtabel"/>
    <w:uiPriority w:val="39"/>
    <w:rsid w:val="006F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440">
      <w:bodyDiv w:val="1"/>
      <w:marLeft w:val="0"/>
      <w:marRight w:val="0"/>
      <w:marTop w:val="0"/>
      <w:marBottom w:val="0"/>
      <w:divBdr>
        <w:top w:val="none" w:sz="0" w:space="0" w:color="auto"/>
        <w:left w:val="none" w:sz="0" w:space="0" w:color="auto"/>
        <w:bottom w:val="none" w:sz="0" w:space="0" w:color="auto"/>
        <w:right w:val="none" w:sz="0" w:space="0" w:color="auto"/>
      </w:divBdr>
    </w:div>
    <w:div w:id="20789060">
      <w:bodyDiv w:val="1"/>
      <w:marLeft w:val="0"/>
      <w:marRight w:val="0"/>
      <w:marTop w:val="0"/>
      <w:marBottom w:val="0"/>
      <w:divBdr>
        <w:top w:val="none" w:sz="0" w:space="0" w:color="auto"/>
        <w:left w:val="none" w:sz="0" w:space="0" w:color="auto"/>
        <w:bottom w:val="none" w:sz="0" w:space="0" w:color="auto"/>
        <w:right w:val="none" w:sz="0" w:space="0" w:color="auto"/>
      </w:divBdr>
    </w:div>
    <w:div w:id="54746601">
      <w:bodyDiv w:val="1"/>
      <w:marLeft w:val="0"/>
      <w:marRight w:val="0"/>
      <w:marTop w:val="0"/>
      <w:marBottom w:val="0"/>
      <w:divBdr>
        <w:top w:val="none" w:sz="0" w:space="0" w:color="auto"/>
        <w:left w:val="none" w:sz="0" w:space="0" w:color="auto"/>
        <w:bottom w:val="none" w:sz="0" w:space="0" w:color="auto"/>
        <w:right w:val="none" w:sz="0" w:space="0" w:color="auto"/>
      </w:divBdr>
    </w:div>
    <w:div w:id="128133202">
      <w:bodyDiv w:val="1"/>
      <w:marLeft w:val="0"/>
      <w:marRight w:val="0"/>
      <w:marTop w:val="0"/>
      <w:marBottom w:val="0"/>
      <w:divBdr>
        <w:top w:val="none" w:sz="0" w:space="0" w:color="auto"/>
        <w:left w:val="none" w:sz="0" w:space="0" w:color="auto"/>
        <w:bottom w:val="none" w:sz="0" w:space="0" w:color="auto"/>
        <w:right w:val="none" w:sz="0" w:space="0" w:color="auto"/>
      </w:divBdr>
    </w:div>
    <w:div w:id="139931680">
      <w:bodyDiv w:val="1"/>
      <w:marLeft w:val="0"/>
      <w:marRight w:val="0"/>
      <w:marTop w:val="0"/>
      <w:marBottom w:val="0"/>
      <w:divBdr>
        <w:top w:val="none" w:sz="0" w:space="0" w:color="auto"/>
        <w:left w:val="none" w:sz="0" w:space="0" w:color="auto"/>
        <w:bottom w:val="none" w:sz="0" w:space="0" w:color="auto"/>
        <w:right w:val="none" w:sz="0" w:space="0" w:color="auto"/>
      </w:divBdr>
    </w:div>
    <w:div w:id="140075101">
      <w:bodyDiv w:val="1"/>
      <w:marLeft w:val="0"/>
      <w:marRight w:val="0"/>
      <w:marTop w:val="0"/>
      <w:marBottom w:val="0"/>
      <w:divBdr>
        <w:top w:val="none" w:sz="0" w:space="0" w:color="auto"/>
        <w:left w:val="none" w:sz="0" w:space="0" w:color="auto"/>
        <w:bottom w:val="none" w:sz="0" w:space="0" w:color="auto"/>
        <w:right w:val="none" w:sz="0" w:space="0" w:color="auto"/>
      </w:divBdr>
    </w:div>
    <w:div w:id="147750806">
      <w:bodyDiv w:val="1"/>
      <w:marLeft w:val="0"/>
      <w:marRight w:val="0"/>
      <w:marTop w:val="0"/>
      <w:marBottom w:val="0"/>
      <w:divBdr>
        <w:top w:val="none" w:sz="0" w:space="0" w:color="auto"/>
        <w:left w:val="none" w:sz="0" w:space="0" w:color="auto"/>
        <w:bottom w:val="none" w:sz="0" w:space="0" w:color="auto"/>
        <w:right w:val="none" w:sz="0" w:space="0" w:color="auto"/>
      </w:divBdr>
    </w:div>
    <w:div w:id="190189613">
      <w:bodyDiv w:val="1"/>
      <w:marLeft w:val="0"/>
      <w:marRight w:val="0"/>
      <w:marTop w:val="0"/>
      <w:marBottom w:val="0"/>
      <w:divBdr>
        <w:top w:val="none" w:sz="0" w:space="0" w:color="auto"/>
        <w:left w:val="none" w:sz="0" w:space="0" w:color="auto"/>
        <w:bottom w:val="none" w:sz="0" w:space="0" w:color="auto"/>
        <w:right w:val="none" w:sz="0" w:space="0" w:color="auto"/>
      </w:divBdr>
    </w:div>
    <w:div w:id="196967706">
      <w:bodyDiv w:val="1"/>
      <w:marLeft w:val="0"/>
      <w:marRight w:val="0"/>
      <w:marTop w:val="0"/>
      <w:marBottom w:val="0"/>
      <w:divBdr>
        <w:top w:val="none" w:sz="0" w:space="0" w:color="auto"/>
        <w:left w:val="none" w:sz="0" w:space="0" w:color="auto"/>
        <w:bottom w:val="none" w:sz="0" w:space="0" w:color="auto"/>
        <w:right w:val="none" w:sz="0" w:space="0" w:color="auto"/>
      </w:divBdr>
    </w:div>
    <w:div w:id="203715255">
      <w:bodyDiv w:val="1"/>
      <w:marLeft w:val="0"/>
      <w:marRight w:val="0"/>
      <w:marTop w:val="0"/>
      <w:marBottom w:val="0"/>
      <w:divBdr>
        <w:top w:val="none" w:sz="0" w:space="0" w:color="auto"/>
        <w:left w:val="none" w:sz="0" w:space="0" w:color="auto"/>
        <w:bottom w:val="none" w:sz="0" w:space="0" w:color="auto"/>
        <w:right w:val="none" w:sz="0" w:space="0" w:color="auto"/>
      </w:divBdr>
    </w:div>
    <w:div w:id="269047043">
      <w:bodyDiv w:val="1"/>
      <w:marLeft w:val="0"/>
      <w:marRight w:val="0"/>
      <w:marTop w:val="0"/>
      <w:marBottom w:val="0"/>
      <w:divBdr>
        <w:top w:val="none" w:sz="0" w:space="0" w:color="auto"/>
        <w:left w:val="none" w:sz="0" w:space="0" w:color="auto"/>
        <w:bottom w:val="none" w:sz="0" w:space="0" w:color="auto"/>
        <w:right w:val="none" w:sz="0" w:space="0" w:color="auto"/>
      </w:divBdr>
    </w:div>
    <w:div w:id="309791382">
      <w:bodyDiv w:val="1"/>
      <w:marLeft w:val="0"/>
      <w:marRight w:val="0"/>
      <w:marTop w:val="0"/>
      <w:marBottom w:val="0"/>
      <w:divBdr>
        <w:top w:val="none" w:sz="0" w:space="0" w:color="auto"/>
        <w:left w:val="none" w:sz="0" w:space="0" w:color="auto"/>
        <w:bottom w:val="none" w:sz="0" w:space="0" w:color="auto"/>
        <w:right w:val="none" w:sz="0" w:space="0" w:color="auto"/>
      </w:divBdr>
    </w:div>
    <w:div w:id="326715222">
      <w:bodyDiv w:val="1"/>
      <w:marLeft w:val="0"/>
      <w:marRight w:val="0"/>
      <w:marTop w:val="0"/>
      <w:marBottom w:val="0"/>
      <w:divBdr>
        <w:top w:val="none" w:sz="0" w:space="0" w:color="auto"/>
        <w:left w:val="none" w:sz="0" w:space="0" w:color="auto"/>
        <w:bottom w:val="none" w:sz="0" w:space="0" w:color="auto"/>
        <w:right w:val="none" w:sz="0" w:space="0" w:color="auto"/>
      </w:divBdr>
    </w:div>
    <w:div w:id="368575329">
      <w:bodyDiv w:val="1"/>
      <w:marLeft w:val="0"/>
      <w:marRight w:val="0"/>
      <w:marTop w:val="0"/>
      <w:marBottom w:val="0"/>
      <w:divBdr>
        <w:top w:val="none" w:sz="0" w:space="0" w:color="auto"/>
        <w:left w:val="none" w:sz="0" w:space="0" w:color="auto"/>
        <w:bottom w:val="none" w:sz="0" w:space="0" w:color="auto"/>
        <w:right w:val="none" w:sz="0" w:space="0" w:color="auto"/>
      </w:divBdr>
    </w:div>
    <w:div w:id="411703693">
      <w:bodyDiv w:val="1"/>
      <w:marLeft w:val="0"/>
      <w:marRight w:val="0"/>
      <w:marTop w:val="0"/>
      <w:marBottom w:val="0"/>
      <w:divBdr>
        <w:top w:val="none" w:sz="0" w:space="0" w:color="auto"/>
        <w:left w:val="none" w:sz="0" w:space="0" w:color="auto"/>
        <w:bottom w:val="none" w:sz="0" w:space="0" w:color="auto"/>
        <w:right w:val="none" w:sz="0" w:space="0" w:color="auto"/>
      </w:divBdr>
    </w:div>
    <w:div w:id="464202628">
      <w:bodyDiv w:val="1"/>
      <w:marLeft w:val="0"/>
      <w:marRight w:val="0"/>
      <w:marTop w:val="0"/>
      <w:marBottom w:val="0"/>
      <w:divBdr>
        <w:top w:val="none" w:sz="0" w:space="0" w:color="auto"/>
        <w:left w:val="none" w:sz="0" w:space="0" w:color="auto"/>
        <w:bottom w:val="none" w:sz="0" w:space="0" w:color="auto"/>
        <w:right w:val="none" w:sz="0" w:space="0" w:color="auto"/>
      </w:divBdr>
    </w:div>
    <w:div w:id="469905391">
      <w:bodyDiv w:val="1"/>
      <w:marLeft w:val="0"/>
      <w:marRight w:val="0"/>
      <w:marTop w:val="0"/>
      <w:marBottom w:val="0"/>
      <w:divBdr>
        <w:top w:val="none" w:sz="0" w:space="0" w:color="auto"/>
        <w:left w:val="none" w:sz="0" w:space="0" w:color="auto"/>
        <w:bottom w:val="none" w:sz="0" w:space="0" w:color="auto"/>
        <w:right w:val="none" w:sz="0" w:space="0" w:color="auto"/>
      </w:divBdr>
    </w:div>
    <w:div w:id="483472176">
      <w:bodyDiv w:val="1"/>
      <w:marLeft w:val="0"/>
      <w:marRight w:val="0"/>
      <w:marTop w:val="0"/>
      <w:marBottom w:val="0"/>
      <w:divBdr>
        <w:top w:val="none" w:sz="0" w:space="0" w:color="auto"/>
        <w:left w:val="none" w:sz="0" w:space="0" w:color="auto"/>
        <w:bottom w:val="none" w:sz="0" w:space="0" w:color="auto"/>
        <w:right w:val="none" w:sz="0" w:space="0" w:color="auto"/>
      </w:divBdr>
    </w:div>
    <w:div w:id="504326597">
      <w:bodyDiv w:val="1"/>
      <w:marLeft w:val="0"/>
      <w:marRight w:val="0"/>
      <w:marTop w:val="0"/>
      <w:marBottom w:val="0"/>
      <w:divBdr>
        <w:top w:val="none" w:sz="0" w:space="0" w:color="auto"/>
        <w:left w:val="none" w:sz="0" w:space="0" w:color="auto"/>
        <w:bottom w:val="none" w:sz="0" w:space="0" w:color="auto"/>
        <w:right w:val="none" w:sz="0" w:space="0" w:color="auto"/>
      </w:divBdr>
    </w:div>
    <w:div w:id="535774368">
      <w:bodyDiv w:val="1"/>
      <w:marLeft w:val="0"/>
      <w:marRight w:val="0"/>
      <w:marTop w:val="0"/>
      <w:marBottom w:val="0"/>
      <w:divBdr>
        <w:top w:val="none" w:sz="0" w:space="0" w:color="auto"/>
        <w:left w:val="none" w:sz="0" w:space="0" w:color="auto"/>
        <w:bottom w:val="none" w:sz="0" w:space="0" w:color="auto"/>
        <w:right w:val="none" w:sz="0" w:space="0" w:color="auto"/>
      </w:divBdr>
    </w:div>
    <w:div w:id="591010104">
      <w:bodyDiv w:val="1"/>
      <w:marLeft w:val="0"/>
      <w:marRight w:val="0"/>
      <w:marTop w:val="0"/>
      <w:marBottom w:val="0"/>
      <w:divBdr>
        <w:top w:val="none" w:sz="0" w:space="0" w:color="auto"/>
        <w:left w:val="none" w:sz="0" w:space="0" w:color="auto"/>
        <w:bottom w:val="none" w:sz="0" w:space="0" w:color="auto"/>
        <w:right w:val="none" w:sz="0" w:space="0" w:color="auto"/>
      </w:divBdr>
    </w:div>
    <w:div w:id="617642647">
      <w:bodyDiv w:val="1"/>
      <w:marLeft w:val="0"/>
      <w:marRight w:val="0"/>
      <w:marTop w:val="0"/>
      <w:marBottom w:val="0"/>
      <w:divBdr>
        <w:top w:val="none" w:sz="0" w:space="0" w:color="auto"/>
        <w:left w:val="none" w:sz="0" w:space="0" w:color="auto"/>
        <w:bottom w:val="none" w:sz="0" w:space="0" w:color="auto"/>
        <w:right w:val="none" w:sz="0" w:space="0" w:color="auto"/>
      </w:divBdr>
    </w:div>
    <w:div w:id="620497134">
      <w:bodyDiv w:val="1"/>
      <w:marLeft w:val="0"/>
      <w:marRight w:val="0"/>
      <w:marTop w:val="0"/>
      <w:marBottom w:val="0"/>
      <w:divBdr>
        <w:top w:val="none" w:sz="0" w:space="0" w:color="auto"/>
        <w:left w:val="none" w:sz="0" w:space="0" w:color="auto"/>
        <w:bottom w:val="none" w:sz="0" w:space="0" w:color="auto"/>
        <w:right w:val="none" w:sz="0" w:space="0" w:color="auto"/>
      </w:divBdr>
    </w:div>
    <w:div w:id="628508731">
      <w:bodyDiv w:val="1"/>
      <w:marLeft w:val="0"/>
      <w:marRight w:val="0"/>
      <w:marTop w:val="0"/>
      <w:marBottom w:val="0"/>
      <w:divBdr>
        <w:top w:val="none" w:sz="0" w:space="0" w:color="auto"/>
        <w:left w:val="none" w:sz="0" w:space="0" w:color="auto"/>
        <w:bottom w:val="none" w:sz="0" w:space="0" w:color="auto"/>
        <w:right w:val="none" w:sz="0" w:space="0" w:color="auto"/>
      </w:divBdr>
    </w:div>
    <w:div w:id="665326242">
      <w:bodyDiv w:val="1"/>
      <w:marLeft w:val="0"/>
      <w:marRight w:val="0"/>
      <w:marTop w:val="0"/>
      <w:marBottom w:val="0"/>
      <w:divBdr>
        <w:top w:val="none" w:sz="0" w:space="0" w:color="auto"/>
        <w:left w:val="none" w:sz="0" w:space="0" w:color="auto"/>
        <w:bottom w:val="none" w:sz="0" w:space="0" w:color="auto"/>
        <w:right w:val="none" w:sz="0" w:space="0" w:color="auto"/>
      </w:divBdr>
    </w:div>
    <w:div w:id="694694977">
      <w:bodyDiv w:val="1"/>
      <w:marLeft w:val="0"/>
      <w:marRight w:val="0"/>
      <w:marTop w:val="0"/>
      <w:marBottom w:val="0"/>
      <w:divBdr>
        <w:top w:val="none" w:sz="0" w:space="0" w:color="auto"/>
        <w:left w:val="none" w:sz="0" w:space="0" w:color="auto"/>
        <w:bottom w:val="none" w:sz="0" w:space="0" w:color="auto"/>
        <w:right w:val="none" w:sz="0" w:space="0" w:color="auto"/>
      </w:divBdr>
      <w:divsChild>
        <w:div w:id="1423263870">
          <w:marLeft w:val="0"/>
          <w:marRight w:val="0"/>
          <w:marTop w:val="0"/>
          <w:marBottom w:val="0"/>
          <w:divBdr>
            <w:top w:val="none" w:sz="0" w:space="0" w:color="auto"/>
            <w:left w:val="none" w:sz="0" w:space="0" w:color="auto"/>
            <w:bottom w:val="none" w:sz="0" w:space="0" w:color="auto"/>
            <w:right w:val="none" w:sz="0" w:space="0" w:color="auto"/>
          </w:divBdr>
          <w:divsChild>
            <w:div w:id="144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2877">
      <w:bodyDiv w:val="1"/>
      <w:marLeft w:val="0"/>
      <w:marRight w:val="0"/>
      <w:marTop w:val="0"/>
      <w:marBottom w:val="0"/>
      <w:divBdr>
        <w:top w:val="none" w:sz="0" w:space="0" w:color="auto"/>
        <w:left w:val="none" w:sz="0" w:space="0" w:color="auto"/>
        <w:bottom w:val="none" w:sz="0" w:space="0" w:color="auto"/>
        <w:right w:val="none" w:sz="0" w:space="0" w:color="auto"/>
      </w:divBdr>
    </w:div>
    <w:div w:id="796338985">
      <w:bodyDiv w:val="1"/>
      <w:marLeft w:val="0"/>
      <w:marRight w:val="0"/>
      <w:marTop w:val="0"/>
      <w:marBottom w:val="0"/>
      <w:divBdr>
        <w:top w:val="none" w:sz="0" w:space="0" w:color="auto"/>
        <w:left w:val="none" w:sz="0" w:space="0" w:color="auto"/>
        <w:bottom w:val="none" w:sz="0" w:space="0" w:color="auto"/>
        <w:right w:val="none" w:sz="0" w:space="0" w:color="auto"/>
      </w:divBdr>
    </w:div>
    <w:div w:id="878709548">
      <w:bodyDiv w:val="1"/>
      <w:marLeft w:val="0"/>
      <w:marRight w:val="0"/>
      <w:marTop w:val="0"/>
      <w:marBottom w:val="0"/>
      <w:divBdr>
        <w:top w:val="none" w:sz="0" w:space="0" w:color="auto"/>
        <w:left w:val="none" w:sz="0" w:space="0" w:color="auto"/>
        <w:bottom w:val="none" w:sz="0" w:space="0" w:color="auto"/>
        <w:right w:val="none" w:sz="0" w:space="0" w:color="auto"/>
      </w:divBdr>
    </w:div>
    <w:div w:id="879322086">
      <w:bodyDiv w:val="1"/>
      <w:marLeft w:val="0"/>
      <w:marRight w:val="0"/>
      <w:marTop w:val="0"/>
      <w:marBottom w:val="0"/>
      <w:divBdr>
        <w:top w:val="none" w:sz="0" w:space="0" w:color="auto"/>
        <w:left w:val="none" w:sz="0" w:space="0" w:color="auto"/>
        <w:bottom w:val="none" w:sz="0" w:space="0" w:color="auto"/>
        <w:right w:val="none" w:sz="0" w:space="0" w:color="auto"/>
      </w:divBdr>
    </w:div>
    <w:div w:id="914170602">
      <w:bodyDiv w:val="1"/>
      <w:marLeft w:val="0"/>
      <w:marRight w:val="0"/>
      <w:marTop w:val="0"/>
      <w:marBottom w:val="0"/>
      <w:divBdr>
        <w:top w:val="none" w:sz="0" w:space="0" w:color="auto"/>
        <w:left w:val="none" w:sz="0" w:space="0" w:color="auto"/>
        <w:bottom w:val="none" w:sz="0" w:space="0" w:color="auto"/>
        <w:right w:val="none" w:sz="0" w:space="0" w:color="auto"/>
      </w:divBdr>
    </w:div>
    <w:div w:id="956637724">
      <w:bodyDiv w:val="1"/>
      <w:marLeft w:val="0"/>
      <w:marRight w:val="0"/>
      <w:marTop w:val="0"/>
      <w:marBottom w:val="0"/>
      <w:divBdr>
        <w:top w:val="none" w:sz="0" w:space="0" w:color="auto"/>
        <w:left w:val="none" w:sz="0" w:space="0" w:color="auto"/>
        <w:bottom w:val="none" w:sz="0" w:space="0" w:color="auto"/>
        <w:right w:val="none" w:sz="0" w:space="0" w:color="auto"/>
      </w:divBdr>
    </w:div>
    <w:div w:id="1103038572">
      <w:bodyDiv w:val="1"/>
      <w:marLeft w:val="0"/>
      <w:marRight w:val="0"/>
      <w:marTop w:val="0"/>
      <w:marBottom w:val="0"/>
      <w:divBdr>
        <w:top w:val="none" w:sz="0" w:space="0" w:color="auto"/>
        <w:left w:val="none" w:sz="0" w:space="0" w:color="auto"/>
        <w:bottom w:val="none" w:sz="0" w:space="0" w:color="auto"/>
        <w:right w:val="none" w:sz="0" w:space="0" w:color="auto"/>
      </w:divBdr>
    </w:div>
    <w:div w:id="1152798284">
      <w:bodyDiv w:val="1"/>
      <w:marLeft w:val="0"/>
      <w:marRight w:val="0"/>
      <w:marTop w:val="0"/>
      <w:marBottom w:val="0"/>
      <w:divBdr>
        <w:top w:val="none" w:sz="0" w:space="0" w:color="auto"/>
        <w:left w:val="none" w:sz="0" w:space="0" w:color="auto"/>
        <w:bottom w:val="none" w:sz="0" w:space="0" w:color="auto"/>
        <w:right w:val="none" w:sz="0" w:space="0" w:color="auto"/>
      </w:divBdr>
    </w:div>
    <w:div w:id="1264073204">
      <w:bodyDiv w:val="1"/>
      <w:marLeft w:val="0"/>
      <w:marRight w:val="0"/>
      <w:marTop w:val="0"/>
      <w:marBottom w:val="0"/>
      <w:divBdr>
        <w:top w:val="none" w:sz="0" w:space="0" w:color="auto"/>
        <w:left w:val="none" w:sz="0" w:space="0" w:color="auto"/>
        <w:bottom w:val="none" w:sz="0" w:space="0" w:color="auto"/>
        <w:right w:val="none" w:sz="0" w:space="0" w:color="auto"/>
      </w:divBdr>
    </w:div>
    <w:div w:id="1287541631">
      <w:bodyDiv w:val="1"/>
      <w:marLeft w:val="0"/>
      <w:marRight w:val="0"/>
      <w:marTop w:val="0"/>
      <w:marBottom w:val="0"/>
      <w:divBdr>
        <w:top w:val="none" w:sz="0" w:space="0" w:color="auto"/>
        <w:left w:val="none" w:sz="0" w:space="0" w:color="auto"/>
        <w:bottom w:val="none" w:sz="0" w:space="0" w:color="auto"/>
        <w:right w:val="none" w:sz="0" w:space="0" w:color="auto"/>
      </w:divBdr>
    </w:div>
    <w:div w:id="1322781184">
      <w:bodyDiv w:val="1"/>
      <w:marLeft w:val="0"/>
      <w:marRight w:val="0"/>
      <w:marTop w:val="0"/>
      <w:marBottom w:val="0"/>
      <w:divBdr>
        <w:top w:val="none" w:sz="0" w:space="0" w:color="auto"/>
        <w:left w:val="none" w:sz="0" w:space="0" w:color="auto"/>
        <w:bottom w:val="none" w:sz="0" w:space="0" w:color="auto"/>
        <w:right w:val="none" w:sz="0" w:space="0" w:color="auto"/>
      </w:divBdr>
    </w:div>
    <w:div w:id="1346441257">
      <w:bodyDiv w:val="1"/>
      <w:marLeft w:val="0"/>
      <w:marRight w:val="0"/>
      <w:marTop w:val="0"/>
      <w:marBottom w:val="0"/>
      <w:divBdr>
        <w:top w:val="none" w:sz="0" w:space="0" w:color="auto"/>
        <w:left w:val="none" w:sz="0" w:space="0" w:color="auto"/>
        <w:bottom w:val="none" w:sz="0" w:space="0" w:color="auto"/>
        <w:right w:val="none" w:sz="0" w:space="0" w:color="auto"/>
      </w:divBdr>
    </w:div>
    <w:div w:id="1349407229">
      <w:bodyDiv w:val="1"/>
      <w:marLeft w:val="0"/>
      <w:marRight w:val="0"/>
      <w:marTop w:val="0"/>
      <w:marBottom w:val="0"/>
      <w:divBdr>
        <w:top w:val="none" w:sz="0" w:space="0" w:color="auto"/>
        <w:left w:val="none" w:sz="0" w:space="0" w:color="auto"/>
        <w:bottom w:val="none" w:sz="0" w:space="0" w:color="auto"/>
        <w:right w:val="none" w:sz="0" w:space="0" w:color="auto"/>
      </w:divBdr>
    </w:div>
    <w:div w:id="1389496210">
      <w:bodyDiv w:val="1"/>
      <w:marLeft w:val="0"/>
      <w:marRight w:val="0"/>
      <w:marTop w:val="0"/>
      <w:marBottom w:val="0"/>
      <w:divBdr>
        <w:top w:val="none" w:sz="0" w:space="0" w:color="auto"/>
        <w:left w:val="none" w:sz="0" w:space="0" w:color="auto"/>
        <w:bottom w:val="none" w:sz="0" w:space="0" w:color="auto"/>
        <w:right w:val="none" w:sz="0" w:space="0" w:color="auto"/>
      </w:divBdr>
    </w:div>
    <w:div w:id="1392147977">
      <w:bodyDiv w:val="1"/>
      <w:marLeft w:val="0"/>
      <w:marRight w:val="0"/>
      <w:marTop w:val="0"/>
      <w:marBottom w:val="0"/>
      <w:divBdr>
        <w:top w:val="none" w:sz="0" w:space="0" w:color="auto"/>
        <w:left w:val="none" w:sz="0" w:space="0" w:color="auto"/>
        <w:bottom w:val="none" w:sz="0" w:space="0" w:color="auto"/>
        <w:right w:val="none" w:sz="0" w:space="0" w:color="auto"/>
      </w:divBdr>
    </w:div>
    <w:div w:id="1445344527">
      <w:bodyDiv w:val="1"/>
      <w:marLeft w:val="0"/>
      <w:marRight w:val="0"/>
      <w:marTop w:val="0"/>
      <w:marBottom w:val="0"/>
      <w:divBdr>
        <w:top w:val="none" w:sz="0" w:space="0" w:color="auto"/>
        <w:left w:val="none" w:sz="0" w:space="0" w:color="auto"/>
        <w:bottom w:val="none" w:sz="0" w:space="0" w:color="auto"/>
        <w:right w:val="none" w:sz="0" w:space="0" w:color="auto"/>
      </w:divBdr>
    </w:div>
    <w:div w:id="1477912750">
      <w:bodyDiv w:val="1"/>
      <w:marLeft w:val="0"/>
      <w:marRight w:val="0"/>
      <w:marTop w:val="0"/>
      <w:marBottom w:val="0"/>
      <w:divBdr>
        <w:top w:val="none" w:sz="0" w:space="0" w:color="auto"/>
        <w:left w:val="none" w:sz="0" w:space="0" w:color="auto"/>
        <w:bottom w:val="none" w:sz="0" w:space="0" w:color="auto"/>
        <w:right w:val="none" w:sz="0" w:space="0" w:color="auto"/>
      </w:divBdr>
    </w:div>
    <w:div w:id="1518229285">
      <w:bodyDiv w:val="1"/>
      <w:marLeft w:val="0"/>
      <w:marRight w:val="0"/>
      <w:marTop w:val="0"/>
      <w:marBottom w:val="0"/>
      <w:divBdr>
        <w:top w:val="none" w:sz="0" w:space="0" w:color="auto"/>
        <w:left w:val="none" w:sz="0" w:space="0" w:color="auto"/>
        <w:bottom w:val="none" w:sz="0" w:space="0" w:color="auto"/>
        <w:right w:val="none" w:sz="0" w:space="0" w:color="auto"/>
      </w:divBdr>
    </w:div>
    <w:div w:id="1582829858">
      <w:bodyDiv w:val="1"/>
      <w:marLeft w:val="0"/>
      <w:marRight w:val="0"/>
      <w:marTop w:val="0"/>
      <w:marBottom w:val="0"/>
      <w:divBdr>
        <w:top w:val="none" w:sz="0" w:space="0" w:color="auto"/>
        <w:left w:val="none" w:sz="0" w:space="0" w:color="auto"/>
        <w:bottom w:val="none" w:sz="0" w:space="0" w:color="auto"/>
        <w:right w:val="none" w:sz="0" w:space="0" w:color="auto"/>
      </w:divBdr>
    </w:div>
    <w:div w:id="1632706501">
      <w:bodyDiv w:val="1"/>
      <w:marLeft w:val="0"/>
      <w:marRight w:val="0"/>
      <w:marTop w:val="0"/>
      <w:marBottom w:val="0"/>
      <w:divBdr>
        <w:top w:val="none" w:sz="0" w:space="0" w:color="auto"/>
        <w:left w:val="none" w:sz="0" w:space="0" w:color="auto"/>
        <w:bottom w:val="none" w:sz="0" w:space="0" w:color="auto"/>
        <w:right w:val="none" w:sz="0" w:space="0" w:color="auto"/>
      </w:divBdr>
    </w:div>
    <w:div w:id="1647591730">
      <w:bodyDiv w:val="1"/>
      <w:marLeft w:val="0"/>
      <w:marRight w:val="0"/>
      <w:marTop w:val="0"/>
      <w:marBottom w:val="0"/>
      <w:divBdr>
        <w:top w:val="none" w:sz="0" w:space="0" w:color="auto"/>
        <w:left w:val="none" w:sz="0" w:space="0" w:color="auto"/>
        <w:bottom w:val="none" w:sz="0" w:space="0" w:color="auto"/>
        <w:right w:val="none" w:sz="0" w:space="0" w:color="auto"/>
      </w:divBdr>
    </w:div>
    <w:div w:id="1661814806">
      <w:bodyDiv w:val="1"/>
      <w:marLeft w:val="0"/>
      <w:marRight w:val="0"/>
      <w:marTop w:val="0"/>
      <w:marBottom w:val="0"/>
      <w:divBdr>
        <w:top w:val="none" w:sz="0" w:space="0" w:color="auto"/>
        <w:left w:val="none" w:sz="0" w:space="0" w:color="auto"/>
        <w:bottom w:val="none" w:sz="0" w:space="0" w:color="auto"/>
        <w:right w:val="none" w:sz="0" w:space="0" w:color="auto"/>
      </w:divBdr>
    </w:div>
    <w:div w:id="1710766556">
      <w:bodyDiv w:val="1"/>
      <w:marLeft w:val="0"/>
      <w:marRight w:val="0"/>
      <w:marTop w:val="0"/>
      <w:marBottom w:val="0"/>
      <w:divBdr>
        <w:top w:val="none" w:sz="0" w:space="0" w:color="auto"/>
        <w:left w:val="none" w:sz="0" w:space="0" w:color="auto"/>
        <w:bottom w:val="none" w:sz="0" w:space="0" w:color="auto"/>
        <w:right w:val="none" w:sz="0" w:space="0" w:color="auto"/>
      </w:divBdr>
    </w:div>
    <w:div w:id="1720738518">
      <w:bodyDiv w:val="1"/>
      <w:marLeft w:val="0"/>
      <w:marRight w:val="0"/>
      <w:marTop w:val="0"/>
      <w:marBottom w:val="0"/>
      <w:divBdr>
        <w:top w:val="none" w:sz="0" w:space="0" w:color="auto"/>
        <w:left w:val="none" w:sz="0" w:space="0" w:color="auto"/>
        <w:bottom w:val="none" w:sz="0" w:space="0" w:color="auto"/>
        <w:right w:val="none" w:sz="0" w:space="0" w:color="auto"/>
      </w:divBdr>
    </w:div>
    <w:div w:id="1791053180">
      <w:bodyDiv w:val="1"/>
      <w:marLeft w:val="0"/>
      <w:marRight w:val="0"/>
      <w:marTop w:val="0"/>
      <w:marBottom w:val="0"/>
      <w:divBdr>
        <w:top w:val="none" w:sz="0" w:space="0" w:color="auto"/>
        <w:left w:val="none" w:sz="0" w:space="0" w:color="auto"/>
        <w:bottom w:val="none" w:sz="0" w:space="0" w:color="auto"/>
        <w:right w:val="none" w:sz="0" w:space="0" w:color="auto"/>
      </w:divBdr>
    </w:div>
    <w:div w:id="1827669453">
      <w:bodyDiv w:val="1"/>
      <w:marLeft w:val="0"/>
      <w:marRight w:val="0"/>
      <w:marTop w:val="0"/>
      <w:marBottom w:val="0"/>
      <w:divBdr>
        <w:top w:val="none" w:sz="0" w:space="0" w:color="auto"/>
        <w:left w:val="none" w:sz="0" w:space="0" w:color="auto"/>
        <w:bottom w:val="none" w:sz="0" w:space="0" w:color="auto"/>
        <w:right w:val="none" w:sz="0" w:space="0" w:color="auto"/>
      </w:divBdr>
    </w:div>
    <w:div w:id="1863199225">
      <w:bodyDiv w:val="1"/>
      <w:marLeft w:val="0"/>
      <w:marRight w:val="0"/>
      <w:marTop w:val="0"/>
      <w:marBottom w:val="0"/>
      <w:divBdr>
        <w:top w:val="none" w:sz="0" w:space="0" w:color="auto"/>
        <w:left w:val="none" w:sz="0" w:space="0" w:color="auto"/>
        <w:bottom w:val="none" w:sz="0" w:space="0" w:color="auto"/>
        <w:right w:val="none" w:sz="0" w:space="0" w:color="auto"/>
      </w:divBdr>
    </w:div>
    <w:div w:id="1922064669">
      <w:bodyDiv w:val="1"/>
      <w:marLeft w:val="0"/>
      <w:marRight w:val="0"/>
      <w:marTop w:val="0"/>
      <w:marBottom w:val="0"/>
      <w:divBdr>
        <w:top w:val="none" w:sz="0" w:space="0" w:color="auto"/>
        <w:left w:val="none" w:sz="0" w:space="0" w:color="auto"/>
        <w:bottom w:val="none" w:sz="0" w:space="0" w:color="auto"/>
        <w:right w:val="none" w:sz="0" w:space="0" w:color="auto"/>
      </w:divBdr>
    </w:div>
    <w:div w:id="1953172225">
      <w:bodyDiv w:val="1"/>
      <w:marLeft w:val="0"/>
      <w:marRight w:val="0"/>
      <w:marTop w:val="0"/>
      <w:marBottom w:val="0"/>
      <w:divBdr>
        <w:top w:val="none" w:sz="0" w:space="0" w:color="auto"/>
        <w:left w:val="none" w:sz="0" w:space="0" w:color="auto"/>
        <w:bottom w:val="none" w:sz="0" w:space="0" w:color="auto"/>
        <w:right w:val="none" w:sz="0" w:space="0" w:color="auto"/>
      </w:divBdr>
    </w:div>
    <w:div w:id="2013216707">
      <w:bodyDiv w:val="1"/>
      <w:marLeft w:val="0"/>
      <w:marRight w:val="0"/>
      <w:marTop w:val="0"/>
      <w:marBottom w:val="0"/>
      <w:divBdr>
        <w:top w:val="none" w:sz="0" w:space="0" w:color="auto"/>
        <w:left w:val="none" w:sz="0" w:space="0" w:color="auto"/>
        <w:bottom w:val="none" w:sz="0" w:space="0" w:color="auto"/>
        <w:right w:val="none" w:sz="0" w:space="0" w:color="auto"/>
      </w:divBdr>
    </w:div>
    <w:div w:id="2060081724">
      <w:bodyDiv w:val="1"/>
      <w:marLeft w:val="0"/>
      <w:marRight w:val="0"/>
      <w:marTop w:val="0"/>
      <w:marBottom w:val="0"/>
      <w:divBdr>
        <w:top w:val="none" w:sz="0" w:space="0" w:color="auto"/>
        <w:left w:val="none" w:sz="0" w:space="0" w:color="auto"/>
        <w:bottom w:val="none" w:sz="0" w:space="0" w:color="auto"/>
        <w:right w:val="none" w:sz="0" w:space="0" w:color="auto"/>
      </w:divBdr>
    </w:div>
    <w:div w:id="2061778856">
      <w:bodyDiv w:val="1"/>
      <w:marLeft w:val="0"/>
      <w:marRight w:val="0"/>
      <w:marTop w:val="0"/>
      <w:marBottom w:val="0"/>
      <w:divBdr>
        <w:top w:val="none" w:sz="0" w:space="0" w:color="auto"/>
        <w:left w:val="none" w:sz="0" w:space="0" w:color="auto"/>
        <w:bottom w:val="none" w:sz="0" w:space="0" w:color="auto"/>
        <w:right w:val="none" w:sz="0" w:space="0" w:color="auto"/>
      </w:divBdr>
    </w:div>
    <w:div w:id="2138451650">
      <w:bodyDiv w:val="1"/>
      <w:marLeft w:val="0"/>
      <w:marRight w:val="0"/>
      <w:marTop w:val="0"/>
      <w:marBottom w:val="0"/>
      <w:divBdr>
        <w:top w:val="none" w:sz="0" w:space="0" w:color="auto"/>
        <w:left w:val="none" w:sz="0" w:space="0" w:color="auto"/>
        <w:bottom w:val="none" w:sz="0" w:space="0" w:color="auto"/>
        <w:right w:val="none" w:sz="0" w:space="0" w:color="auto"/>
      </w:divBdr>
    </w:div>
    <w:div w:id="2142071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webSetting" Target="webSettings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rijksfinancien.nl/verkiezingen-en-formatie-2021/ombuigings-en-intensiveringslijst" TargetMode="External"/><Relationship Id="rId1" Type="http://schemas.openxmlformats.org/officeDocument/2006/relationships/hyperlink" Target="https://rijksbegroting.nl/system/files/12/ibo-arbeidsongeschiktheideindrapport-ibo-geschikt-voor-de-arbeidsmarkt-def.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H:\Desktop\Documenten\Ontwikkelingen%20ZW\Bestand%20overleg%20FIN%20-analys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Aandeel ERD in de totale loonsom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v>Overige sectoren</c:v>
          </c:tx>
          <c:spPr>
            <a:ln w="28575" cap="rnd">
              <a:solidFill>
                <a:schemeClr val="accent1"/>
              </a:solidFill>
              <a:round/>
            </a:ln>
            <a:effectLst/>
          </c:spPr>
          <c:marker>
            <c:symbol val="none"/>
          </c:marker>
          <c:cat>
            <c:numRef>
              <c:f>'hybride markt'!$A$30:$A$43</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'hybride markt'!$I$29:$I$43</c:f>
              <c:numCache>
                <c:formatCode>0.00%</c:formatCode>
                <c:ptCount val="15"/>
                <c:pt idx="1">
                  <c:v>0.01</c:v>
                </c:pt>
                <c:pt idx="2">
                  <c:v>8.9999999999999993E-3</c:v>
                </c:pt>
                <c:pt idx="3">
                  <c:v>8.0000000000000002E-3</c:v>
                </c:pt>
                <c:pt idx="4">
                  <c:v>8.0000000000000002E-3</c:v>
                </c:pt>
                <c:pt idx="5">
                  <c:v>8.9999999999999993E-3</c:v>
                </c:pt>
                <c:pt idx="6">
                  <c:v>0.01</c:v>
                </c:pt>
                <c:pt idx="7">
                  <c:v>1.2E-2</c:v>
                </c:pt>
                <c:pt idx="8">
                  <c:v>3.6999999999999998E-2</c:v>
                </c:pt>
                <c:pt idx="9">
                  <c:v>0.20699999999999999</c:v>
                </c:pt>
                <c:pt idx="10">
                  <c:v>0.28499999999999998</c:v>
                </c:pt>
                <c:pt idx="11">
                  <c:v>0.32900000000000001</c:v>
                </c:pt>
                <c:pt idx="12">
                  <c:v>0.40500000000000003</c:v>
                </c:pt>
                <c:pt idx="13">
                  <c:v>0.42499999999999999</c:v>
                </c:pt>
                <c:pt idx="14">
                  <c:v>0.44</c:v>
                </c:pt>
              </c:numCache>
            </c:numRef>
          </c:val>
          <c:smooth val="0"/>
          <c:extLst>
            <c:ext xmlns:c16="http://schemas.microsoft.com/office/drawing/2014/chart" uri="{C3380CC4-5D6E-409C-BE32-E72D297353CC}">
              <c16:uniqueId val="{00000000-86EF-4000-B2D0-735D1B400EF0}"/>
            </c:ext>
          </c:extLst>
        </c:ser>
        <c:ser>
          <c:idx val="1"/>
          <c:order val="1"/>
          <c:tx>
            <c:v>Uitzendsector</c:v>
          </c:tx>
          <c:spPr>
            <a:ln w="28575" cap="rnd">
              <a:solidFill>
                <a:schemeClr val="accent2"/>
              </a:solidFill>
              <a:round/>
            </a:ln>
            <a:effectLst/>
          </c:spPr>
          <c:marker>
            <c:symbol val="none"/>
          </c:marker>
          <c:cat>
            <c:numRef>
              <c:f>'hybride markt'!$A$30:$A$43</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'hybride markt'!$D$30:$D$43</c:f>
              <c:numCache>
                <c:formatCode>0.00%</c:formatCode>
                <c:ptCount val="14"/>
                <c:pt idx="0">
                  <c:v>1.2E-2</c:v>
                </c:pt>
                <c:pt idx="1">
                  <c:v>1.6E-2</c:v>
                </c:pt>
                <c:pt idx="2">
                  <c:v>5.3999999999999999E-2</c:v>
                </c:pt>
                <c:pt idx="3">
                  <c:v>7.4999999999999997E-2</c:v>
                </c:pt>
                <c:pt idx="4">
                  <c:v>0.13200000000000001</c:v>
                </c:pt>
                <c:pt idx="5">
                  <c:v>0.247</c:v>
                </c:pt>
                <c:pt idx="6">
                  <c:v>0.28999999999999998</c:v>
                </c:pt>
                <c:pt idx="7">
                  <c:v>0.60399999999999998</c:v>
                </c:pt>
                <c:pt idx="8">
                  <c:v>0.59799999999999998</c:v>
                </c:pt>
                <c:pt idx="9">
                  <c:v>0.59</c:v>
                </c:pt>
                <c:pt idx="10">
                  <c:v>0.55800000000000005</c:v>
                </c:pt>
                <c:pt idx="11">
                  <c:v>0.54500000000000004</c:v>
                </c:pt>
                <c:pt idx="12">
                  <c:v>0.51200000000000001</c:v>
                </c:pt>
                <c:pt idx="13">
                  <c:v>0.48199999999999998</c:v>
                </c:pt>
              </c:numCache>
            </c:numRef>
          </c:val>
          <c:smooth val="0"/>
          <c:extLst>
            <c:ext xmlns:c16="http://schemas.microsoft.com/office/drawing/2014/chart" uri="{C3380CC4-5D6E-409C-BE32-E72D297353CC}">
              <c16:uniqueId val="{00000001-86EF-4000-B2D0-735D1B400EF0}"/>
            </c:ext>
          </c:extLst>
        </c:ser>
        <c:dLbls>
          <c:showLegendKey val="0"/>
          <c:showVal val="0"/>
          <c:showCatName val="0"/>
          <c:showSerName val="0"/>
          <c:showPercent val="0"/>
          <c:showBubbleSize val="0"/>
        </c:dLbls>
        <c:smooth val="0"/>
        <c:axId val="459978328"/>
        <c:axId val="459978656"/>
      </c:lineChart>
      <c:catAx>
        <c:axId val="45997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59978656"/>
        <c:crosses val="autoZero"/>
        <c:auto val="1"/>
        <c:lblAlgn val="ctr"/>
        <c:lblOffset val="100"/>
        <c:noMultiLvlLbl val="0"/>
      </c:catAx>
      <c:valAx>
        <c:axId val="459978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Percentage</a:t>
                </a:r>
                <a:r>
                  <a:rPr lang="nl-NL" baseline="0"/>
                  <a:t> van de loonsom</a:t>
                </a:r>
                <a:endParaRPr lang="nl-N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59978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905E9734B4AF48AFEC91038A3E5404" ma:contentTypeVersion="0" ma:contentTypeDescription="Een nieuw document maken." ma:contentTypeScope="" ma:versionID="440516d2f2ea577ddc851cc8f8ad3fc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CD286-1341-4429-A6F8-F475E808C9C8}">
  <ds:schemaRefs>
    <ds:schemaRef ds:uri="http://schemas.openxmlformats.org/officeDocument/2006/bibliography"/>
  </ds:schemaRefs>
</ds:datastoreItem>
</file>

<file path=customXml/itemProps2.xml><?xml version="1.0" encoding="utf-8"?>
<ds:datastoreItem xmlns:ds="http://schemas.openxmlformats.org/officeDocument/2006/customXml" ds:itemID="{0BC36B17-A90E-405B-B7C0-B8A5B6E6A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E950E6-F93C-4FFF-ADF7-252000760DF8}">
  <ds:schemaRefs>
    <ds:schemaRef ds:uri="http://schemas.microsoft.com/sharepoint/v3/contenttype/forms"/>
  </ds:schemaRefs>
</ds:datastoreItem>
</file>

<file path=customXml/itemProps4.xml><?xml version="1.0" encoding="utf-8"?>
<ds:datastoreItem xmlns:ds="http://schemas.openxmlformats.org/officeDocument/2006/customXml" ds:itemID="{92A16322-9907-4072-AC35-DB8B4348B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4815</Words>
  <Characters>26485</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Dorith Boudewijnse</dc:creator>
  <cp:lastModifiedBy>Dorith Boudewijnse</cp:lastModifiedBy>
  <cp:revision>2</cp:revision>
  <dcterms:created xsi:type="dcterms:W3CDTF">2020-12-21T13:19:00Z</dcterms:created>
  <dcterms:modified xsi:type="dcterms:W3CDTF">2020-12-21T13:19:00Z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17 december 2020</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Analyse WIA en ZW</vt:lpwstr>
  </property>
  <property fmtid="{D5CDD505-2E9C-101B-9397-08002B2CF9AE}" pid="10" name="iOnsKenmerk">
    <vt:lpwstr>2020-0000168540</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0x010100E7905E9734B4AF48AFEC91038A3E5404</vt:lpwstr>
  </property>
</Properties>
</file>